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31F4" w14:textId="77777777" w:rsidR="00B648B5" w:rsidRDefault="00491C77" w:rsidP="00491C77">
      <w:pPr>
        <w:pStyle w:val="Heading1"/>
        <w:rPr>
          <w:lang w:eastAsia="en-AU"/>
        </w:rPr>
      </w:pPr>
      <w:r>
        <w:rPr>
          <w:lang w:eastAsia="en-AU"/>
        </w:rPr>
        <w:t>M</w:t>
      </w:r>
      <w:r w:rsidR="007D5A51">
        <w:rPr>
          <w:lang w:eastAsia="en-AU"/>
        </w:rPr>
        <w:t>onitoring tyre pressures for better economy and safety</w:t>
      </w:r>
    </w:p>
    <w:p w14:paraId="39FB3DB3" w14:textId="77777777" w:rsidR="00B648B5" w:rsidRPr="00491C77" w:rsidRDefault="00491C77" w:rsidP="00491C77">
      <w:pPr>
        <w:pStyle w:val="BoxTitle"/>
        <w:rPr>
          <w:sz w:val="22"/>
          <w:lang w:eastAsia="en-AU"/>
        </w:rPr>
      </w:pPr>
      <w:r>
        <w:rPr>
          <w:lang w:eastAsia="en-AU"/>
        </w:rPr>
        <w:t>Introduction</w:t>
      </w:r>
    </w:p>
    <w:p w14:paraId="767AD09E" w14:textId="0E4B630B" w:rsidR="00A37AB3" w:rsidRPr="00B648B5" w:rsidRDefault="004E5248" w:rsidP="00B648B5">
      <w:pPr>
        <w:spacing w:after="0" w:line="240" w:lineRule="auto"/>
        <w:rPr>
          <w:rFonts w:eastAsia="Times New Roman" w:cs="Calibri"/>
          <w:lang w:eastAsia="en-AU"/>
        </w:rPr>
      </w:pPr>
      <w:r>
        <w:rPr>
          <w:rFonts w:asciiTheme="minorHAnsi" w:hAnsiTheme="minorHAnsi" w:cstheme="minorHAnsi"/>
        </w:rPr>
        <w:t>Tyre Pressure Monitoring Systems (TPMS)</w:t>
      </w:r>
      <w:r w:rsidR="00DE74C2">
        <w:rPr>
          <w:rFonts w:asciiTheme="minorHAnsi" w:hAnsiTheme="minorHAnsi" w:cstheme="minorHAnsi"/>
        </w:rPr>
        <w:t xml:space="preserve"> </w:t>
      </w:r>
      <w:r w:rsidR="004D0F60">
        <w:rPr>
          <w:rFonts w:asciiTheme="minorHAnsi" w:hAnsiTheme="minorHAnsi" w:cstheme="minorHAnsi"/>
        </w:rPr>
        <w:t xml:space="preserve">are in-vehicle systems that alert the </w:t>
      </w:r>
      <w:r w:rsidR="008357B7">
        <w:rPr>
          <w:rFonts w:asciiTheme="minorHAnsi" w:hAnsiTheme="minorHAnsi" w:cstheme="minorHAnsi"/>
        </w:rPr>
        <w:t xml:space="preserve">driver </w:t>
      </w:r>
      <w:r w:rsidR="004D0F60">
        <w:rPr>
          <w:rFonts w:asciiTheme="minorHAnsi" w:hAnsiTheme="minorHAnsi" w:cstheme="minorHAnsi"/>
        </w:rPr>
        <w:t xml:space="preserve">to a </w:t>
      </w:r>
      <w:r w:rsidR="00EC71D7">
        <w:rPr>
          <w:rFonts w:asciiTheme="minorHAnsi" w:hAnsiTheme="minorHAnsi" w:cstheme="minorHAnsi"/>
        </w:rPr>
        <w:t>change in tyre pressure</w:t>
      </w:r>
      <w:r w:rsidR="004D0F60">
        <w:rPr>
          <w:rFonts w:asciiTheme="minorHAnsi" w:hAnsiTheme="minorHAnsi" w:cstheme="minorHAnsi"/>
        </w:rPr>
        <w:t>.</w:t>
      </w:r>
      <w:r w:rsidR="00142117">
        <w:rPr>
          <w:rFonts w:asciiTheme="minorHAnsi" w:hAnsiTheme="minorHAnsi" w:cstheme="minorHAnsi"/>
        </w:rPr>
        <w:t xml:space="preserve"> Simple systems are able to detect changes </w:t>
      </w:r>
      <w:r w:rsidR="00BA0701">
        <w:rPr>
          <w:rFonts w:asciiTheme="minorHAnsi" w:hAnsiTheme="minorHAnsi" w:cstheme="minorHAnsi"/>
        </w:rPr>
        <w:t xml:space="preserve">in </w:t>
      </w:r>
      <w:r w:rsidR="00142117">
        <w:rPr>
          <w:rFonts w:asciiTheme="minorHAnsi" w:hAnsiTheme="minorHAnsi" w:cstheme="minorHAnsi"/>
        </w:rPr>
        <w:t xml:space="preserve">pressure for any one </w:t>
      </w:r>
      <w:r w:rsidR="008D5641">
        <w:rPr>
          <w:rFonts w:asciiTheme="minorHAnsi" w:hAnsiTheme="minorHAnsi" w:cstheme="minorHAnsi"/>
        </w:rPr>
        <w:t>tyre and send an alert after a threshold pressure reduction is reached, usually 20%</w:t>
      </w:r>
      <w:r w:rsidR="00BA0701">
        <w:rPr>
          <w:rFonts w:asciiTheme="minorHAnsi" w:hAnsiTheme="minorHAnsi" w:cstheme="minorHAnsi"/>
        </w:rPr>
        <w:t xml:space="preserve"> lower than starting point</w:t>
      </w:r>
      <w:r w:rsidR="008D5641">
        <w:rPr>
          <w:rFonts w:asciiTheme="minorHAnsi" w:hAnsiTheme="minorHAnsi" w:cstheme="minorHAnsi"/>
        </w:rPr>
        <w:t>.</w:t>
      </w:r>
      <w:r w:rsidR="004D0F60">
        <w:rPr>
          <w:rFonts w:asciiTheme="minorHAnsi" w:hAnsiTheme="minorHAnsi" w:cstheme="minorHAnsi"/>
        </w:rPr>
        <w:t xml:space="preserve"> </w:t>
      </w:r>
      <w:r w:rsidR="00EC71D7">
        <w:rPr>
          <w:rFonts w:asciiTheme="minorHAnsi" w:hAnsiTheme="minorHAnsi" w:cstheme="minorHAnsi"/>
        </w:rPr>
        <w:t>More sophisticated systems are able to provide monitoring of live tyre pressures and</w:t>
      </w:r>
      <w:r w:rsidR="00BC0248">
        <w:rPr>
          <w:rFonts w:asciiTheme="minorHAnsi" w:hAnsiTheme="minorHAnsi" w:cstheme="minorHAnsi"/>
        </w:rPr>
        <w:t xml:space="preserve"> internal</w:t>
      </w:r>
      <w:r w:rsidR="00EC71D7">
        <w:rPr>
          <w:rFonts w:asciiTheme="minorHAnsi" w:hAnsiTheme="minorHAnsi" w:cstheme="minorHAnsi"/>
        </w:rPr>
        <w:t xml:space="preserve"> temperatures</w:t>
      </w:r>
      <w:r w:rsidR="00BC0248">
        <w:rPr>
          <w:rFonts w:asciiTheme="minorHAnsi" w:hAnsiTheme="minorHAnsi" w:cstheme="minorHAnsi"/>
        </w:rPr>
        <w:t xml:space="preserve">, and </w:t>
      </w:r>
      <w:r w:rsidR="00FA42CD">
        <w:rPr>
          <w:rFonts w:asciiTheme="minorHAnsi" w:hAnsiTheme="minorHAnsi" w:cstheme="minorHAnsi"/>
        </w:rPr>
        <w:t>issue custom as well as pre-set warnings</w:t>
      </w:r>
      <w:r w:rsidR="008D5641">
        <w:rPr>
          <w:rFonts w:asciiTheme="minorHAnsi" w:hAnsiTheme="minorHAnsi" w:cstheme="minorHAnsi"/>
        </w:rPr>
        <w:t xml:space="preserve"> to the driver</w:t>
      </w:r>
      <w:r w:rsidR="00FA42CD">
        <w:rPr>
          <w:rFonts w:asciiTheme="minorHAnsi" w:hAnsiTheme="minorHAnsi" w:cstheme="minorHAnsi"/>
        </w:rPr>
        <w:t xml:space="preserve">. </w:t>
      </w:r>
    </w:p>
    <w:p w14:paraId="51E0E074" w14:textId="77777777" w:rsidR="00CA58B8" w:rsidRDefault="00A37AB3" w:rsidP="00827CF7">
      <w:pPr>
        <w:spacing w:before="120" w:after="120" w:line="240" w:lineRule="auto"/>
        <w:textAlignment w:val="center"/>
        <w:rPr>
          <w:rFonts w:asciiTheme="minorHAnsi" w:hAnsiTheme="minorHAnsi" w:cstheme="minorHAnsi"/>
        </w:rPr>
      </w:pPr>
      <w:r>
        <w:rPr>
          <w:rFonts w:asciiTheme="minorHAnsi" w:hAnsiTheme="minorHAnsi" w:cstheme="minorHAnsi"/>
        </w:rPr>
        <w:t xml:space="preserve">TPMS </w:t>
      </w:r>
      <w:r w:rsidR="00757ADD">
        <w:rPr>
          <w:rFonts w:asciiTheme="minorHAnsi" w:hAnsiTheme="minorHAnsi" w:cstheme="minorHAnsi"/>
        </w:rPr>
        <w:t>is</w:t>
      </w:r>
      <w:r w:rsidR="00E5597F">
        <w:rPr>
          <w:rFonts w:asciiTheme="minorHAnsi" w:hAnsiTheme="minorHAnsi" w:cstheme="minorHAnsi"/>
        </w:rPr>
        <w:t xml:space="preserve"> </w:t>
      </w:r>
      <w:r>
        <w:rPr>
          <w:rFonts w:asciiTheme="minorHAnsi" w:hAnsiTheme="minorHAnsi" w:cstheme="minorHAnsi"/>
        </w:rPr>
        <w:t>a strong incremental step toward environmental, efficiency and safety targets for Australian vehicles.</w:t>
      </w:r>
      <w:r w:rsidR="00562970">
        <w:rPr>
          <w:rFonts w:asciiTheme="minorHAnsi" w:hAnsiTheme="minorHAnsi" w:cstheme="minorHAnsi"/>
        </w:rPr>
        <w:t xml:space="preserve"> The United Nations (UN) </w:t>
      </w:r>
      <w:r w:rsidR="00DF2132">
        <w:rPr>
          <w:rFonts w:asciiTheme="minorHAnsi" w:hAnsiTheme="minorHAnsi" w:cstheme="minorHAnsi"/>
        </w:rPr>
        <w:t>have developed</w:t>
      </w:r>
      <w:r w:rsidR="00562970">
        <w:rPr>
          <w:rFonts w:asciiTheme="minorHAnsi" w:hAnsiTheme="minorHAnsi" w:cstheme="minorHAnsi"/>
        </w:rPr>
        <w:t xml:space="preserve"> an international standard </w:t>
      </w:r>
      <w:r w:rsidR="00A8000B">
        <w:rPr>
          <w:rFonts w:asciiTheme="minorHAnsi" w:hAnsiTheme="minorHAnsi" w:cstheme="minorHAnsi"/>
        </w:rPr>
        <w:t>UN Regulation No. 141</w:t>
      </w:r>
      <w:r w:rsidR="00617454">
        <w:rPr>
          <w:rStyle w:val="FootnoteReference"/>
          <w:rFonts w:cs="Calibri"/>
        </w:rPr>
        <w:footnoteReference w:id="1"/>
      </w:r>
      <w:r w:rsidR="00617454">
        <w:rPr>
          <w:rFonts w:asciiTheme="minorHAnsi" w:hAnsiTheme="minorHAnsi" w:cstheme="minorHAnsi"/>
        </w:rPr>
        <w:t xml:space="preserve"> that contains </w:t>
      </w:r>
      <w:r w:rsidR="00A8000B">
        <w:rPr>
          <w:rFonts w:asciiTheme="minorHAnsi" w:hAnsiTheme="minorHAnsi" w:cstheme="minorHAnsi"/>
        </w:rPr>
        <w:t xml:space="preserve">technical requirements </w:t>
      </w:r>
      <w:r w:rsidR="00617454">
        <w:rPr>
          <w:rFonts w:asciiTheme="minorHAnsi" w:hAnsiTheme="minorHAnsi" w:cstheme="minorHAnsi"/>
        </w:rPr>
        <w:t xml:space="preserve">designed to achieve those goals </w:t>
      </w:r>
      <w:r w:rsidR="00A8000B">
        <w:rPr>
          <w:rFonts w:asciiTheme="minorHAnsi" w:hAnsiTheme="minorHAnsi" w:cstheme="minorHAnsi"/>
        </w:rPr>
        <w:t xml:space="preserve">for light passenger and goods vehicles as well as heavy vehicles and heavy trailers. </w:t>
      </w:r>
    </w:p>
    <w:p w14:paraId="60A2405F" w14:textId="62D19C47" w:rsidR="00433537" w:rsidRPr="00652BF3" w:rsidRDefault="00A37AB3" w:rsidP="00652BF3">
      <w:pPr>
        <w:spacing w:before="120" w:after="120" w:line="240" w:lineRule="auto"/>
        <w:textAlignment w:val="center"/>
        <w:rPr>
          <w:rFonts w:asciiTheme="minorHAnsi" w:hAnsiTheme="minorHAnsi"/>
        </w:rPr>
      </w:pPr>
      <w:r w:rsidRPr="00652BF3">
        <w:rPr>
          <w:rFonts w:asciiTheme="minorHAnsi" w:hAnsiTheme="minorHAnsi"/>
        </w:rPr>
        <w:t>The European Union</w:t>
      </w:r>
      <w:r w:rsidR="0081057C" w:rsidRPr="00652BF3">
        <w:rPr>
          <w:rFonts w:asciiTheme="minorHAnsi" w:hAnsiTheme="minorHAnsi"/>
        </w:rPr>
        <w:t xml:space="preserve"> (EU)</w:t>
      </w:r>
      <w:r w:rsidRPr="00652BF3">
        <w:rPr>
          <w:rFonts w:asciiTheme="minorHAnsi" w:hAnsiTheme="minorHAnsi"/>
        </w:rPr>
        <w:t xml:space="preserve"> </w:t>
      </w:r>
      <w:r w:rsidR="0025205D" w:rsidRPr="00652BF3">
        <w:rPr>
          <w:rFonts w:asciiTheme="minorHAnsi" w:hAnsiTheme="minorHAnsi"/>
        </w:rPr>
        <w:t xml:space="preserve">mandated that light vehicles </w:t>
      </w:r>
      <w:r w:rsidR="00C62D45" w:rsidRPr="00652BF3">
        <w:rPr>
          <w:rFonts w:asciiTheme="minorHAnsi" w:hAnsiTheme="minorHAnsi"/>
        </w:rPr>
        <w:t>must be fitted with TPMS meeting the requirements of UN R141 from 2014</w:t>
      </w:r>
      <w:r w:rsidR="00A8000B" w:rsidRPr="00652BF3">
        <w:rPr>
          <w:rFonts w:asciiTheme="minorHAnsi" w:hAnsiTheme="minorHAnsi"/>
        </w:rPr>
        <w:t>. T</w:t>
      </w:r>
      <w:r w:rsidRPr="00652BF3">
        <w:rPr>
          <w:rFonts w:asciiTheme="minorHAnsi" w:hAnsiTheme="minorHAnsi"/>
        </w:rPr>
        <w:t>h</w:t>
      </w:r>
      <w:r w:rsidR="0081057C" w:rsidRPr="00652BF3">
        <w:rPr>
          <w:rFonts w:asciiTheme="minorHAnsi" w:hAnsiTheme="minorHAnsi"/>
        </w:rPr>
        <w:t>e</w:t>
      </w:r>
      <w:r w:rsidR="00CC487F" w:rsidRPr="00652BF3">
        <w:rPr>
          <w:rFonts w:asciiTheme="minorHAnsi" w:hAnsiTheme="minorHAnsi"/>
        </w:rPr>
        <w:t xml:space="preserve"> scope of </w:t>
      </w:r>
      <w:r w:rsidR="00A8000B" w:rsidRPr="00652BF3">
        <w:rPr>
          <w:rFonts w:asciiTheme="minorHAnsi" w:hAnsiTheme="minorHAnsi"/>
        </w:rPr>
        <w:t>the EU mandate will be extended to include</w:t>
      </w:r>
      <w:r w:rsidRPr="00652BF3">
        <w:rPr>
          <w:rFonts w:asciiTheme="minorHAnsi" w:hAnsiTheme="minorHAnsi"/>
        </w:rPr>
        <w:t xml:space="preserve"> heavy vehicles and their trailers </w:t>
      </w:r>
      <w:r w:rsidR="00A8000B" w:rsidRPr="00652BF3">
        <w:rPr>
          <w:rFonts w:asciiTheme="minorHAnsi" w:hAnsiTheme="minorHAnsi"/>
        </w:rPr>
        <w:t>in 2024.</w:t>
      </w:r>
      <w:r w:rsidR="00CA58B8" w:rsidRPr="00652BF3">
        <w:rPr>
          <w:rFonts w:asciiTheme="minorHAnsi" w:hAnsiTheme="minorHAnsi"/>
        </w:rPr>
        <w:t xml:space="preserve"> </w:t>
      </w:r>
      <w:r w:rsidR="00A8000B" w:rsidRPr="00652BF3">
        <w:rPr>
          <w:rFonts w:asciiTheme="minorHAnsi" w:hAnsiTheme="minorHAnsi"/>
        </w:rPr>
        <w:t xml:space="preserve">In other markets, the United </w:t>
      </w:r>
      <w:r w:rsidR="3101ED1E" w:rsidRPr="00652BF3">
        <w:rPr>
          <w:rFonts w:asciiTheme="minorHAnsi" w:hAnsiTheme="minorHAnsi"/>
        </w:rPr>
        <w:t>S</w:t>
      </w:r>
      <w:r w:rsidR="00A8000B" w:rsidRPr="00652BF3">
        <w:rPr>
          <w:rFonts w:asciiTheme="minorHAnsi" w:hAnsiTheme="minorHAnsi"/>
        </w:rPr>
        <w:t>tates require</w:t>
      </w:r>
      <w:r w:rsidR="3101ED1E" w:rsidRPr="00652BF3">
        <w:rPr>
          <w:rFonts w:asciiTheme="minorHAnsi" w:hAnsiTheme="minorHAnsi"/>
        </w:rPr>
        <w:t>s</w:t>
      </w:r>
      <w:r w:rsidR="00A8000B" w:rsidRPr="00652BF3">
        <w:rPr>
          <w:rFonts w:asciiTheme="minorHAnsi" w:hAnsiTheme="minorHAnsi"/>
        </w:rPr>
        <w:t xml:space="preserve"> TPMS </w:t>
      </w:r>
      <w:r w:rsidR="00950B30" w:rsidRPr="00652BF3">
        <w:rPr>
          <w:rFonts w:asciiTheme="minorHAnsi" w:hAnsiTheme="minorHAnsi"/>
        </w:rPr>
        <w:t>be</w:t>
      </w:r>
      <w:r w:rsidR="00A8000B" w:rsidRPr="00652BF3">
        <w:rPr>
          <w:rFonts w:asciiTheme="minorHAnsi" w:hAnsiTheme="minorHAnsi"/>
        </w:rPr>
        <w:t xml:space="preserve"> fitted to all vehicles </w:t>
      </w:r>
      <w:r w:rsidR="00950B30" w:rsidRPr="00652BF3">
        <w:rPr>
          <w:rFonts w:asciiTheme="minorHAnsi" w:hAnsiTheme="minorHAnsi"/>
        </w:rPr>
        <w:t xml:space="preserve">from September 2007 </w:t>
      </w:r>
      <w:r w:rsidR="00A8000B" w:rsidRPr="00652BF3">
        <w:rPr>
          <w:rFonts w:asciiTheme="minorHAnsi" w:hAnsiTheme="minorHAnsi"/>
        </w:rPr>
        <w:t>under Federal Motor</w:t>
      </w:r>
      <w:r w:rsidR="00950B30" w:rsidRPr="00652BF3">
        <w:rPr>
          <w:rFonts w:asciiTheme="minorHAnsi" w:hAnsiTheme="minorHAnsi"/>
        </w:rPr>
        <w:t xml:space="preserve"> Vehicle Safety Standard 139</w:t>
      </w:r>
      <w:r w:rsidR="005E7FD7" w:rsidRPr="00652BF3">
        <w:rPr>
          <w:rFonts w:asciiTheme="minorHAnsi" w:hAnsiTheme="minorHAnsi"/>
        </w:rPr>
        <w:t xml:space="preserve">. </w:t>
      </w:r>
      <w:r w:rsidR="00950B30" w:rsidRPr="00652BF3">
        <w:rPr>
          <w:rFonts w:asciiTheme="minorHAnsi" w:hAnsiTheme="minorHAnsi"/>
        </w:rPr>
        <w:t xml:space="preserve">South Korea </w:t>
      </w:r>
      <w:r w:rsidR="00526E52" w:rsidRPr="00652BF3">
        <w:rPr>
          <w:rFonts w:asciiTheme="minorHAnsi" w:hAnsiTheme="minorHAnsi"/>
        </w:rPr>
        <w:t xml:space="preserve">required TPMS </w:t>
      </w:r>
      <w:r w:rsidR="0025205D" w:rsidRPr="00652BF3">
        <w:rPr>
          <w:rFonts w:asciiTheme="minorHAnsi" w:hAnsiTheme="minorHAnsi"/>
        </w:rPr>
        <w:t xml:space="preserve">from 2013 </w:t>
      </w:r>
      <w:r w:rsidR="00526E52" w:rsidRPr="00652BF3">
        <w:rPr>
          <w:rFonts w:asciiTheme="minorHAnsi" w:hAnsiTheme="minorHAnsi"/>
        </w:rPr>
        <w:t xml:space="preserve">for </w:t>
      </w:r>
      <w:r w:rsidR="005E7FD7" w:rsidRPr="00652BF3">
        <w:rPr>
          <w:rFonts w:asciiTheme="minorHAnsi" w:hAnsiTheme="minorHAnsi"/>
        </w:rPr>
        <w:t xml:space="preserve">vehicles under 3.5 tonnes </w:t>
      </w:r>
      <w:r w:rsidR="0025205D" w:rsidRPr="00652BF3">
        <w:rPr>
          <w:rFonts w:asciiTheme="minorHAnsi" w:hAnsiTheme="minorHAnsi"/>
        </w:rPr>
        <w:t xml:space="preserve">and </w:t>
      </w:r>
      <w:r w:rsidR="005E7FD7" w:rsidRPr="00652BF3">
        <w:rPr>
          <w:rFonts w:asciiTheme="minorHAnsi" w:hAnsiTheme="minorHAnsi"/>
        </w:rPr>
        <w:t xml:space="preserve">from </w:t>
      </w:r>
      <w:r w:rsidR="0025205D" w:rsidRPr="00652BF3">
        <w:rPr>
          <w:rFonts w:asciiTheme="minorHAnsi" w:hAnsiTheme="minorHAnsi"/>
        </w:rPr>
        <w:t>2015 for</w:t>
      </w:r>
      <w:r w:rsidR="005E7FD7" w:rsidRPr="00652BF3">
        <w:rPr>
          <w:rFonts w:asciiTheme="minorHAnsi" w:hAnsiTheme="minorHAnsi"/>
        </w:rPr>
        <w:t xml:space="preserve"> </w:t>
      </w:r>
      <w:r w:rsidR="00526E52" w:rsidRPr="00652BF3">
        <w:rPr>
          <w:rFonts w:asciiTheme="minorHAnsi" w:hAnsiTheme="minorHAnsi"/>
        </w:rPr>
        <w:t>all vehicles</w:t>
      </w:r>
      <w:r w:rsidR="0025205D" w:rsidRPr="00652BF3">
        <w:rPr>
          <w:rFonts w:asciiTheme="minorHAnsi" w:hAnsiTheme="minorHAnsi"/>
        </w:rPr>
        <w:t>. Japan are in the process of considering a mandate.</w:t>
      </w:r>
    </w:p>
    <w:p w14:paraId="4B8C69D5" w14:textId="6EDFDA05" w:rsidR="00A37AB3" w:rsidRPr="00652BF3" w:rsidRDefault="00433537" w:rsidP="00652BF3">
      <w:pPr>
        <w:spacing w:before="120" w:after="120" w:line="240" w:lineRule="auto"/>
        <w:textAlignment w:val="center"/>
        <w:rPr>
          <w:rFonts w:asciiTheme="minorHAnsi" w:hAnsiTheme="minorHAnsi"/>
        </w:rPr>
      </w:pPr>
      <w:r w:rsidRPr="00652BF3">
        <w:rPr>
          <w:rFonts w:asciiTheme="minorHAnsi" w:hAnsiTheme="minorHAnsi"/>
        </w:rPr>
        <w:t xml:space="preserve">The Australian Government </w:t>
      </w:r>
      <w:r w:rsidR="00A37AB3" w:rsidRPr="00652BF3">
        <w:rPr>
          <w:rFonts w:asciiTheme="minorHAnsi" w:hAnsiTheme="minorHAnsi"/>
        </w:rPr>
        <w:t>does not</w:t>
      </w:r>
      <w:r w:rsidR="00CC487F" w:rsidRPr="00652BF3">
        <w:rPr>
          <w:rFonts w:asciiTheme="minorHAnsi" w:hAnsiTheme="minorHAnsi"/>
        </w:rPr>
        <w:t xml:space="preserve"> set any technical requirements for</w:t>
      </w:r>
      <w:r w:rsidR="00A37AB3" w:rsidRPr="00652BF3">
        <w:rPr>
          <w:rFonts w:asciiTheme="minorHAnsi" w:hAnsiTheme="minorHAnsi"/>
        </w:rPr>
        <w:t xml:space="preserve"> TPMS</w:t>
      </w:r>
      <w:r w:rsidR="00CC487F" w:rsidRPr="00652BF3">
        <w:rPr>
          <w:rFonts w:asciiTheme="minorHAnsi" w:hAnsiTheme="minorHAnsi"/>
        </w:rPr>
        <w:t xml:space="preserve"> </w:t>
      </w:r>
      <w:r w:rsidR="0081057C" w:rsidRPr="00652BF3">
        <w:rPr>
          <w:rFonts w:asciiTheme="minorHAnsi" w:hAnsiTheme="minorHAnsi"/>
        </w:rPr>
        <w:t xml:space="preserve">and </w:t>
      </w:r>
      <w:r w:rsidR="00CC487F" w:rsidRPr="00652BF3">
        <w:rPr>
          <w:rFonts w:asciiTheme="minorHAnsi" w:hAnsiTheme="minorHAnsi"/>
        </w:rPr>
        <w:t>does not mandate fitment of TPMS to any vehicles</w:t>
      </w:r>
      <w:r w:rsidR="00A37AB3" w:rsidRPr="00652BF3">
        <w:rPr>
          <w:rFonts w:asciiTheme="minorHAnsi" w:hAnsiTheme="minorHAnsi"/>
        </w:rPr>
        <w:t xml:space="preserve">. </w:t>
      </w:r>
      <w:r w:rsidR="00CC487F" w:rsidRPr="00652BF3">
        <w:rPr>
          <w:rFonts w:asciiTheme="minorHAnsi" w:hAnsiTheme="minorHAnsi"/>
        </w:rPr>
        <w:t xml:space="preserve">Implementing technical requirements </w:t>
      </w:r>
      <w:r w:rsidR="00A37AB3" w:rsidRPr="00652BF3">
        <w:rPr>
          <w:rFonts w:asciiTheme="minorHAnsi" w:hAnsiTheme="minorHAnsi"/>
        </w:rPr>
        <w:t>for TPMS, adopting the UN R 141 technical standards</w:t>
      </w:r>
      <w:r w:rsidR="00CC487F" w:rsidRPr="00652BF3">
        <w:rPr>
          <w:rFonts w:asciiTheme="minorHAnsi" w:hAnsiTheme="minorHAnsi"/>
        </w:rPr>
        <w:t xml:space="preserve"> or other equivalent standards</w:t>
      </w:r>
      <w:r w:rsidR="00A37AB3" w:rsidRPr="00652BF3">
        <w:rPr>
          <w:rFonts w:asciiTheme="minorHAnsi" w:hAnsiTheme="minorHAnsi"/>
        </w:rPr>
        <w:t>,</w:t>
      </w:r>
      <w:r w:rsidRPr="00652BF3">
        <w:rPr>
          <w:rFonts w:asciiTheme="minorHAnsi" w:hAnsiTheme="minorHAnsi"/>
        </w:rPr>
        <w:t xml:space="preserve"> </w:t>
      </w:r>
      <w:r w:rsidR="00CC487F" w:rsidRPr="00652BF3">
        <w:rPr>
          <w:rFonts w:asciiTheme="minorHAnsi" w:hAnsiTheme="minorHAnsi"/>
        </w:rPr>
        <w:t xml:space="preserve">could </w:t>
      </w:r>
      <w:r w:rsidRPr="00652BF3">
        <w:rPr>
          <w:rFonts w:asciiTheme="minorHAnsi" w:hAnsiTheme="minorHAnsi"/>
        </w:rPr>
        <w:t xml:space="preserve">provide </w:t>
      </w:r>
      <w:r w:rsidR="00CC487F" w:rsidRPr="00652BF3">
        <w:rPr>
          <w:rFonts w:asciiTheme="minorHAnsi" w:hAnsiTheme="minorHAnsi"/>
        </w:rPr>
        <w:t>compl</w:t>
      </w:r>
      <w:r w:rsidR="1DF3F57D" w:rsidRPr="00652BF3">
        <w:rPr>
          <w:rFonts w:asciiTheme="minorHAnsi" w:hAnsiTheme="minorHAnsi"/>
        </w:rPr>
        <w:t>e</w:t>
      </w:r>
      <w:r w:rsidR="00CC487F" w:rsidRPr="00652BF3">
        <w:rPr>
          <w:rFonts w:asciiTheme="minorHAnsi" w:hAnsiTheme="minorHAnsi"/>
        </w:rPr>
        <w:t xml:space="preserve">mentary efficiency, emissions and safety </w:t>
      </w:r>
      <w:r w:rsidR="002164C6" w:rsidRPr="00652BF3">
        <w:rPr>
          <w:rFonts w:asciiTheme="minorHAnsi" w:hAnsiTheme="minorHAnsi"/>
        </w:rPr>
        <w:t>benefits</w:t>
      </w:r>
      <w:r w:rsidR="00A37AB3" w:rsidRPr="00652BF3">
        <w:rPr>
          <w:rFonts w:asciiTheme="minorHAnsi" w:hAnsiTheme="minorHAnsi"/>
        </w:rPr>
        <w:t xml:space="preserve"> </w:t>
      </w:r>
      <w:r w:rsidR="00CC487F" w:rsidRPr="00652BF3">
        <w:rPr>
          <w:rFonts w:asciiTheme="minorHAnsi" w:hAnsiTheme="minorHAnsi"/>
        </w:rPr>
        <w:t xml:space="preserve">to existing requirements </w:t>
      </w:r>
      <w:r w:rsidR="00A37AB3" w:rsidRPr="00652BF3">
        <w:rPr>
          <w:rFonts w:asciiTheme="minorHAnsi" w:hAnsiTheme="minorHAnsi"/>
        </w:rPr>
        <w:t xml:space="preserve">if </w:t>
      </w:r>
      <w:r w:rsidR="00B648B5" w:rsidRPr="00652BF3">
        <w:rPr>
          <w:rFonts w:asciiTheme="minorHAnsi" w:hAnsiTheme="minorHAnsi"/>
        </w:rPr>
        <w:t>we</w:t>
      </w:r>
      <w:r w:rsidR="00A37AB3" w:rsidRPr="00652BF3">
        <w:rPr>
          <w:rFonts w:asciiTheme="minorHAnsi" w:hAnsiTheme="minorHAnsi"/>
        </w:rPr>
        <w:t xml:space="preserve"> can establish </w:t>
      </w:r>
      <w:r w:rsidRPr="00652BF3">
        <w:rPr>
          <w:rFonts w:asciiTheme="minorHAnsi" w:hAnsiTheme="minorHAnsi"/>
        </w:rPr>
        <w:t>the best way to encourage or regulate installation</w:t>
      </w:r>
      <w:r w:rsidR="00A37AB3" w:rsidRPr="00652BF3">
        <w:rPr>
          <w:rFonts w:asciiTheme="minorHAnsi" w:hAnsiTheme="minorHAnsi"/>
        </w:rPr>
        <w:t>.</w:t>
      </w:r>
    </w:p>
    <w:p w14:paraId="64C4EABE" w14:textId="77777777" w:rsidR="00433537" w:rsidRDefault="00433537" w:rsidP="00F5205B">
      <w:pPr>
        <w:pStyle w:val="BoxTitle"/>
      </w:pPr>
      <w:r>
        <w:t>Types of TPMS and modes of operation</w:t>
      </w:r>
    </w:p>
    <w:p w14:paraId="716E571C" w14:textId="77777777" w:rsidR="00827CF7" w:rsidRPr="00827CF7" w:rsidRDefault="00827CF7" w:rsidP="00827CF7">
      <w:pPr>
        <w:spacing w:before="120" w:after="120" w:line="240" w:lineRule="auto"/>
        <w:textAlignment w:val="center"/>
        <w:rPr>
          <w:rFonts w:asciiTheme="minorHAnsi" w:hAnsiTheme="minorHAnsi" w:cstheme="minorHAnsi"/>
        </w:rPr>
      </w:pPr>
      <w:r w:rsidRPr="00827CF7">
        <w:rPr>
          <w:rFonts w:asciiTheme="minorHAnsi" w:hAnsiTheme="minorHAnsi" w:cstheme="minorHAnsi"/>
        </w:rPr>
        <w:t>There are two major types of TPMS available</w:t>
      </w:r>
      <w:r>
        <w:rPr>
          <w:rFonts w:asciiTheme="minorHAnsi" w:hAnsiTheme="minorHAnsi" w:cstheme="minorHAnsi"/>
        </w:rPr>
        <w:t>:</w:t>
      </w:r>
    </w:p>
    <w:p w14:paraId="3110B014" w14:textId="48A926CD" w:rsidR="00827CF7" w:rsidRPr="00652BF3" w:rsidRDefault="00827CF7" w:rsidP="00652BF3">
      <w:pPr>
        <w:spacing w:before="120" w:after="120" w:line="240" w:lineRule="auto"/>
        <w:textAlignment w:val="center"/>
        <w:rPr>
          <w:rFonts w:asciiTheme="minorHAnsi" w:hAnsiTheme="minorHAnsi"/>
        </w:rPr>
      </w:pPr>
      <w:r w:rsidRPr="00652BF3">
        <w:rPr>
          <w:rFonts w:asciiTheme="minorHAnsi" w:hAnsiTheme="minorHAnsi"/>
          <w:b/>
          <w:bCs/>
        </w:rPr>
        <w:t>Direct</w:t>
      </w:r>
      <w:r w:rsidRPr="00652BF3">
        <w:rPr>
          <w:rFonts w:asciiTheme="minorHAnsi" w:hAnsiTheme="minorHAnsi"/>
        </w:rPr>
        <w:t xml:space="preserve"> –</w:t>
      </w:r>
      <w:r w:rsidR="0051369F" w:rsidRPr="00652BF3">
        <w:rPr>
          <w:rFonts w:asciiTheme="minorHAnsi" w:hAnsiTheme="minorHAnsi"/>
        </w:rPr>
        <w:t xml:space="preserve">A </w:t>
      </w:r>
      <w:r w:rsidRPr="00652BF3">
        <w:rPr>
          <w:rFonts w:asciiTheme="minorHAnsi" w:hAnsiTheme="minorHAnsi"/>
        </w:rPr>
        <w:t xml:space="preserve">sensor </w:t>
      </w:r>
      <w:r w:rsidR="0051369F" w:rsidRPr="00652BF3">
        <w:rPr>
          <w:rFonts w:asciiTheme="minorHAnsi" w:hAnsiTheme="minorHAnsi"/>
        </w:rPr>
        <w:t xml:space="preserve">is </w:t>
      </w:r>
      <w:r w:rsidRPr="00652BF3">
        <w:rPr>
          <w:rFonts w:asciiTheme="minorHAnsi" w:hAnsiTheme="minorHAnsi"/>
        </w:rPr>
        <w:t>installed in each tyre or on the inflation valve stem</w:t>
      </w:r>
      <w:r w:rsidR="0051369F" w:rsidRPr="00652BF3">
        <w:rPr>
          <w:rFonts w:asciiTheme="minorHAnsi" w:hAnsiTheme="minorHAnsi"/>
        </w:rPr>
        <w:t xml:space="preserve"> of the tyre</w:t>
      </w:r>
      <w:r w:rsidRPr="00652BF3">
        <w:rPr>
          <w:rFonts w:asciiTheme="minorHAnsi" w:hAnsiTheme="minorHAnsi"/>
        </w:rPr>
        <w:t xml:space="preserve"> that detects the pressure within the tyre directly and transmits that pressure to a main display unit. These systems are capable of high-resolution detection of the actual pressure in each individual tyre in real time and often perform additional functions like</w:t>
      </w:r>
      <w:r w:rsidR="00DC5BD6" w:rsidRPr="00652BF3">
        <w:rPr>
          <w:rFonts w:asciiTheme="minorHAnsi" w:hAnsiTheme="minorHAnsi"/>
        </w:rPr>
        <w:t xml:space="preserve"> measuring</w:t>
      </w:r>
      <w:r w:rsidRPr="00652BF3">
        <w:rPr>
          <w:rFonts w:asciiTheme="minorHAnsi" w:hAnsiTheme="minorHAnsi"/>
        </w:rPr>
        <w:t xml:space="preserve"> tyre internal temperature. Each sensor unit requires a power source in the form of a battery and therefore has a life in accordance with the battery capacity. Installation and maintenance costs are higher for this type of system but it can be installed aftermarket, </w:t>
      </w:r>
      <w:r w:rsidR="006E4B08" w:rsidRPr="00652BF3">
        <w:rPr>
          <w:rFonts w:asciiTheme="minorHAnsi" w:hAnsiTheme="minorHAnsi"/>
        </w:rPr>
        <w:t xml:space="preserve">can be installed in </w:t>
      </w:r>
      <w:r w:rsidRPr="00652BF3">
        <w:rPr>
          <w:rFonts w:asciiTheme="minorHAnsi" w:hAnsiTheme="minorHAnsi"/>
        </w:rPr>
        <w:t xml:space="preserve">dual tyre wheel assemblies and gives the best resolution </w:t>
      </w:r>
      <w:r w:rsidR="3ADAF16A" w:rsidRPr="00652BF3">
        <w:rPr>
          <w:rFonts w:asciiTheme="minorHAnsi" w:hAnsiTheme="minorHAnsi"/>
        </w:rPr>
        <w:t>by</w:t>
      </w:r>
      <w:r w:rsidR="7EA3D59A" w:rsidRPr="00652BF3">
        <w:rPr>
          <w:rFonts w:asciiTheme="minorHAnsi" w:hAnsiTheme="minorHAnsi"/>
        </w:rPr>
        <w:t xml:space="preserve"> </w:t>
      </w:r>
      <w:r w:rsidRPr="00652BF3">
        <w:rPr>
          <w:rFonts w:asciiTheme="minorHAnsi" w:hAnsiTheme="minorHAnsi"/>
        </w:rPr>
        <w:t>display</w:t>
      </w:r>
      <w:r w:rsidR="0081057C" w:rsidRPr="00652BF3">
        <w:rPr>
          <w:rFonts w:asciiTheme="minorHAnsi" w:hAnsiTheme="minorHAnsi"/>
        </w:rPr>
        <w:t>ing</w:t>
      </w:r>
      <w:r w:rsidRPr="00652BF3">
        <w:rPr>
          <w:rFonts w:asciiTheme="minorHAnsi" w:hAnsiTheme="minorHAnsi"/>
        </w:rPr>
        <w:t xml:space="preserve"> actual tyre pressure in real time.</w:t>
      </w:r>
    </w:p>
    <w:p w14:paraId="683FC01C" w14:textId="29471CCF" w:rsidR="00BC0248" w:rsidRPr="00652BF3" w:rsidRDefault="00827CF7" w:rsidP="00652BF3">
      <w:pPr>
        <w:spacing w:before="120" w:after="120" w:line="240" w:lineRule="auto"/>
        <w:textAlignment w:val="center"/>
        <w:rPr>
          <w:rFonts w:asciiTheme="minorHAnsi" w:hAnsiTheme="minorHAnsi"/>
        </w:rPr>
      </w:pPr>
      <w:r w:rsidRPr="00652BF3">
        <w:rPr>
          <w:rFonts w:asciiTheme="minorHAnsi" w:hAnsiTheme="minorHAnsi"/>
          <w:b/>
          <w:bCs/>
        </w:rPr>
        <w:t>Indirect</w:t>
      </w:r>
      <w:r w:rsidRPr="00652BF3">
        <w:rPr>
          <w:rFonts w:asciiTheme="minorHAnsi" w:hAnsiTheme="minorHAnsi"/>
        </w:rPr>
        <w:t xml:space="preserve"> – Uses the existing wheel speed sensors on the vehicle with a software implementation that can distinguish differences in the rolling speed of each wheel. If a tyre had differing pressure in comparison with other tyres it will exhibit </w:t>
      </w:r>
      <w:r w:rsidR="006E4B08" w:rsidRPr="00652BF3">
        <w:rPr>
          <w:rFonts w:asciiTheme="minorHAnsi" w:hAnsiTheme="minorHAnsi"/>
        </w:rPr>
        <w:t xml:space="preserve">a </w:t>
      </w:r>
      <w:r w:rsidRPr="00652BF3">
        <w:rPr>
          <w:rFonts w:asciiTheme="minorHAnsi" w:hAnsiTheme="minorHAnsi"/>
        </w:rPr>
        <w:t xml:space="preserve">change </w:t>
      </w:r>
      <w:r w:rsidR="006E4B08" w:rsidRPr="00652BF3">
        <w:rPr>
          <w:rFonts w:asciiTheme="minorHAnsi" w:hAnsiTheme="minorHAnsi"/>
        </w:rPr>
        <w:t xml:space="preserve">in </w:t>
      </w:r>
      <w:r w:rsidRPr="00652BF3">
        <w:rPr>
          <w:rFonts w:asciiTheme="minorHAnsi" w:hAnsiTheme="minorHAnsi"/>
        </w:rPr>
        <w:t xml:space="preserve">rolling diameter or erratic rotational velocity and trigger a warning. These systems </w:t>
      </w:r>
      <w:r w:rsidR="00BA0701" w:rsidRPr="00652BF3">
        <w:rPr>
          <w:rFonts w:asciiTheme="minorHAnsi" w:hAnsiTheme="minorHAnsi"/>
        </w:rPr>
        <w:t xml:space="preserve">do not read the pressure in the tyre and </w:t>
      </w:r>
      <w:r w:rsidRPr="00652BF3">
        <w:rPr>
          <w:rFonts w:asciiTheme="minorHAnsi" w:hAnsiTheme="minorHAnsi"/>
        </w:rPr>
        <w:t>are not capable of exact resolution but are developing and are able to detect single or in some case multiple under-inflation events. Due t</w:t>
      </w:r>
      <w:r w:rsidR="17B9068E" w:rsidRPr="00652BF3">
        <w:rPr>
          <w:rFonts w:asciiTheme="minorHAnsi" w:hAnsiTheme="minorHAnsi"/>
        </w:rPr>
        <w:t>o</w:t>
      </w:r>
      <w:r w:rsidR="086F9607" w:rsidRPr="00652BF3">
        <w:rPr>
          <w:rFonts w:asciiTheme="minorHAnsi" w:hAnsiTheme="minorHAnsi"/>
        </w:rPr>
        <w:t xml:space="preserve"> </w:t>
      </w:r>
      <w:r w:rsidR="17B9068E" w:rsidRPr="00652BF3">
        <w:rPr>
          <w:rFonts w:asciiTheme="minorHAnsi" w:hAnsiTheme="minorHAnsi"/>
        </w:rPr>
        <w:t>t</w:t>
      </w:r>
      <w:r w:rsidRPr="00652BF3">
        <w:rPr>
          <w:rFonts w:asciiTheme="minorHAnsi" w:hAnsiTheme="minorHAnsi"/>
        </w:rPr>
        <w:t>his type of system using the existing wheel speed hardware and computational systems it is inexpensive for OEMs</w:t>
      </w:r>
      <w:r w:rsidR="00EA1C62" w:rsidRPr="00652BF3">
        <w:rPr>
          <w:rFonts w:asciiTheme="minorHAnsi" w:hAnsiTheme="minorHAnsi"/>
        </w:rPr>
        <w:t xml:space="preserve"> to implement</w:t>
      </w:r>
      <w:r w:rsidR="00564481" w:rsidRPr="00652BF3">
        <w:rPr>
          <w:rFonts w:asciiTheme="minorHAnsi" w:hAnsiTheme="minorHAnsi"/>
        </w:rPr>
        <w:t>, but needs to be included as part of the vehicle design. I</w:t>
      </w:r>
      <w:r w:rsidRPr="00652BF3">
        <w:rPr>
          <w:rFonts w:asciiTheme="minorHAnsi" w:hAnsiTheme="minorHAnsi"/>
        </w:rPr>
        <w:t xml:space="preserve">n most cases </w:t>
      </w:r>
      <w:r w:rsidR="00564481" w:rsidRPr="00652BF3">
        <w:rPr>
          <w:rFonts w:asciiTheme="minorHAnsi" w:hAnsiTheme="minorHAnsi"/>
        </w:rPr>
        <w:t xml:space="preserve">indirect TPMS </w:t>
      </w:r>
      <w:r w:rsidRPr="00652BF3">
        <w:rPr>
          <w:rFonts w:asciiTheme="minorHAnsi" w:hAnsiTheme="minorHAnsi"/>
        </w:rPr>
        <w:t xml:space="preserve">does not work on dual tyre wheels. </w:t>
      </w:r>
      <w:r w:rsidR="00564481" w:rsidRPr="00652BF3">
        <w:rPr>
          <w:rFonts w:asciiTheme="minorHAnsi" w:hAnsiTheme="minorHAnsi"/>
        </w:rPr>
        <w:t>S</w:t>
      </w:r>
      <w:r w:rsidRPr="00652BF3">
        <w:rPr>
          <w:rFonts w:asciiTheme="minorHAnsi" w:hAnsiTheme="minorHAnsi"/>
        </w:rPr>
        <w:t>ervice life</w:t>
      </w:r>
      <w:r w:rsidR="00564481" w:rsidRPr="00652BF3">
        <w:rPr>
          <w:rFonts w:asciiTheme="minorHAnsi" w:hAnsiTheme="minorHAnsi"/>
        </w:rPr>
        <w:t xml:space="preserve"> </w:t>
      </w:r>
      <w:r w:rsidRPr="00652BF3">
        <w:rPr>
          <w:rFonts w:asciiTheme="minorHAnsi" w:hAnsiTheme="minorHAnsi"/>
        </w:rPr>
        <w:t>is not limited by any particular factors and is theoretically the same as the rest of the vehicle, excluding unexpected component failure.</w:t>
      </w:r>
    </w:p>
    <w:p w14:paraId="70B9F1FF" w14:textId="1B0A9D18" w:rsidR="00BC0248" w:rsidRPr="00A37AB3" w:rsidRDefault="00340D6C" w:rsidP="002E12E4">
      <w:pPr>
        <w:pStyle w:val="Question"/>
      </w:pPr>
      <w:r w:rsidRPr="00652BF3">
        <w:rPr>
          <w:b/>
          <w:bCs/>
        </w:rPr>
        <w:lastRenderedPageBreak/>
        <w:t>Question</w:t>
      </w:r>
      <w:r w:rsidR="00DB3E2F" w:rsidRPr="1DF3F57D">
        <w:t xml:space="preserve"> </w:t>
      </w:r>
      <w:r w:rsidR="00DB3E2F" w:rsidRPr="00652BF3">
        <w:rPr>
          <w:b/>
          <w:bCs/>
        </w:rPr>
        <w:t>1</w:t>
      </w:r>
      <w:r w:rsidRPr="1DF3F57D">
        <w:t xml:space="preserve">: </w:t>
      </w:r>
      <w:r w:rsidR="00AA1B8D" w:rsidRPr="00FA119F">
        <w:t>Have there been or are there</w:t>
      </w:r>
      <w:r w:rsidR="000A7C22" w:rsidRPr="00FA119F">
        <w:t xml:space="preserve"> expected</w:t>
      </w:r>
      <w:r w:rsidR="00AA1B8D" w:rsidRPr="00FA119F">
        <w:t xml:space="preserve"> advancements in TPMS technology that change the</w:t>
      </w:r>
      <w:r w:rsidR="00C30EE5" w:rsidRPr="00FA119F">
        <w:t xml:space="preserve">se </w:t>
      </w:r>
      <w:r w:rsidR="00AA1B8D" w:rsidRPr="00FA119F">
        <w:t>categorisation</w:t>
      </w:r>
      <w:r w:rsidR="0026289D" w:rsidRPr="00FA119F">
        <w:t>s</w:t>
      </w:r>
      <w:r w:rsidR="00AA1B8D" w:rsidRPr="00FA119F">
        <w:t xml:space="preserve"> and use cases </w:t>
      </w:r>
      <w:r w:rsidR="0026289D" w:rsidRPr="00FA119F">
        <w:t>for</w:t>
      </w:r>
      <w:r w:rsidR="00AA1B8D" w:rsidRPr="00FA119F">
        <w:t xml:space="preserve"> Direct and Indirect systems? </w:t>
      </w:r>
      <w:r w:rsidR="00EA1C62" w:rsidRPr="1DF3F57D">
        <w:t xml:space="preserve"> </w:t>
      </w:r>
      <w:r w:rsidR="00561EE4" w:rsidRPr="00F05E65">
        <w:t xml:space="preserve">Have there been advancements in </w:t>
      </w:r>
      <w:r w:rsidR="00EA1C62" w:rsidRPr="00F05E65">
        <w:t>Indirect systems</w:t>
      </w:r>
      <w:r w:rsidR="00561EE4" w:rsidRPr="00407D7A">
        <w:t xml:space="preserve"> in terms of better resolution or implement</w:t>
      </w:r>
      <w:r w:rsidR="1DF3F57D" w:rsidRPr="00407D7A">
        <w:t>ations</w:t>
      </w:r>
      <w:r w:rsidR="00561EE4" w:rsidRPr="00407D7A">
        <w:t xml:space="preserve"> on dual wheel</w:t>
      </w:r>
      <w:r w:rsidR="00561EE4" w:rsidRPr="00E54B98">
        <w:t>s</w:t>
      </w:r>
      <w:r w:rsidR="00EA1C62" w:rsidRPr="1DF3F57D">
        <w:t>?</w:t>
      </w:r>
    </w:p>
    <w:p w14:paraId="2885BF32" w14:textId="7AA66BD5" w:rsidR="00FA42CD" w:rsidRDefault="00FA42CD" w:rsidP="00465222">
      <w:pPr>
        <w:spacing w:before="120" w:after="120" w:line="240" w:lineRule="auto"/>
        <w:textAlignment w:val="center"/>
        <w:rPr>
          <w:rFonts w:asciiTheme="minorHAnsi" w:hAnsiTheme="minorHAnsi" w:cstheme="minorHAnsi"/>
        </w:rPr>
      </w:pPr>
      <w:r>
        <w:rPr>
          <w:rFonts w:asciiTheme="minorHAnsi" w:hAnsiTheme="minorHAnsi" w:cstheme="minorHAnsi"/>
        </w:rPr>
        <w:t xml:space="preserve">The </w:t>
      </w:r>
      <w:r w:rsidR="00757ADD">
        <w:rPr>
          <w:rFonts w:asciiTheme="minorHAnsi" w:hAnsiTheme="minorHAnsi" w:cstheme="minorHAnsi"/>
        </w:rPr>
        <w:t xml:space="preserve">most noticeable </w:t>
      </w:r>
      <w:r w:rsidR="00950B30">
        <w:rPr>
          <w:rFonts w:asciiTheme="minorHAnsi" w:hAnsiTheme="minorHAnsi" w:cstheme="minorHAnsi"/>
        </w:rPr>
        <w:t>benefits</w:t>
      </w:r>
      <w:r w:rsidR="00E5597F">
        <w:rPr>
          <w:rFonts w:asciiTheme="minorHAnsi" w:hAnsiTheme="minorHAnsi" w:cstheme="minorHAnsi"/>
        </w:rPr>
        <w:t xml:space="preserve"> </w:t>
      </w:r>
      <w:r>
        <w:rPr>
          <w:rFonts w:asciiTheme="minorHAnsi" w:hAnsiTheme="minorHAnsi" w:cstheme="minorHAnsi"/>
        </w:rPr>
        <w:t xml:space="preserve">of TPMS </w:t>
      </w:r>
      <w:r w:rsidR="00823ACA">
        <w:rPr>
          <w:rFonts w:asciiTheme="minorHAnsi" w:hAnsiTheme="minorHAnsi" w:cstheme="minorHAnsi"/>
        </w:rPr>
        <w:t>are achieved by</w:t>
      </w:r>
      <w:r>
        <w:rPr>
          <w:rFonts w:asciiTheme="minorHAnsi" w:hAnsiTheme="minorHAnsi" w:cstheme="minorHAnsi"/>
        </w:rPr>
        <w:t xml:space="preserve"> ensur</w:t>
      </w:r>
      <w:r w:rsidR="00823ACA">
        <w:rPr>
          <w:rFonts w:asciiTheme="minorHAnsi" w:hAnsiTheme="minorHAnsi" w:cstheme="minorHAnsi"/>
        </w:rPr>
        <w:t>ing</w:t>
      </w:r>
      <w:r>
        <w:rPr>
          <w:rFonts w:asciiTheme="minorHAnsi" w:hAnsiTheme="minorHAnsi" w:cstheme="minorHAnsi"/>
        </w:rPr>
        <w:t xml:space="preserve"> </w:t>
      </w:r>
      <w:r w:rsidR="007420CA">
        <w:rPr>
          <w:rFonts w:asciiTheme="minorHAnsi" w:hAnsiTheme="minorHAnsi" w:cstheme="minorHAnsi"/>
        </w:rPr>
        <w:t xml:space="preserve">more consistently optimal tyre pressures. Rapidly deflating tyres are potentially dangerous </w:t>
      </w:r>
      <w:r w:rsidR="00D839E9">
        <w:rPr>
          <w:rFonts w:asciiTheme="minorHAnsi" w:hAnsiTheme="minorHAnsi" w:cstheme="minorHAnsi"/>
        </w:rPr>
        <w:t>a</w:t>
      </w:r>
      <w:r w:rsidR="007420CA">
        <w:rPr>
          <w:rFonts w:asciiTheme="minorHAnsi" w:hAnsiTheme="minorHAnsi" w:cstheme="minorHAnsi"/>
        </w:rPr>
        <w:t>nd at the very least are inconvenient and time consuming</w:t>
      </w:r>
      <w:r w:rsidR="00463E57">
        <w:rPr>
          <w:rFonts w:asciiTheme="minorHAnsi" w:hAnsiTheme="minorHAnsi" w:cstheme="minorHAnsi"/>
        </w:rPr>
        <w:t xml:space="preserve"> to change or repair</w:t>
      </w:r>
      <w:r w:rsidR="00D839E9">
        <w:rPr>
          <w:rFonts w:asciiTheme="minorHAnsi" w:hAnsiTheme="minorHAnsi" w:cstheme="minorHAnsi"/>
        </w:rPr>
        <w:t xml:space="preserve">. </w:t>
      </w:r>
      <w:r w:rsidR="00617454">
        <w:rPr>
          <w:rFonts w:asciiTheme="minorHAnsi" w:hAnsiTheme="minorHAnsi" w:cstheme="minorHAnsi"/>
        </w:rPr>
        <w:t xml:space="preserve">While there are </w:t>
      </w:r>
      <w:r w:rsidR="00D839E9">
        <w:rPr>
          <w:rFonts w:asciiTheme="minorHAnsi" w:hAnsiTheme="minorHAnsi" w:cstheme="minorHAnsi"/>
        </w:rPr>
        <w:t>certainly safety advantages to warning drivers about rapidly deflating tyres</w:t>
      </w:r>
      <w:r w:rsidR="00617454">
        <w:rPr>
          <w:rFonts w:asciiTheme="minorHAnsi" w:hAnsiTheme="minorHAnsi" w:cstheme="minorHAnsi"/>
        </w:rPr>
        <w:t>, the best</w:t>
      </w:r>
      <w:r w:rsidR="00823ACA">
        <w:rPr>
          <w:rFonts w:asciiTheme="minorHAnsi" w:hAnsiTheme="minorHAnsi" w:cstheme="minorHAnsi"/>
        </w:rPr>
        <w:t xml:space="preserve"> efficiency and safety </w:t>
      </w:r>
      <w:r w:rsidR="00D839E9">
        <w:rPr>
          <w:rFonts w:asciiTheme="minorHAnsi" w:hAnsiTheme="minorHAnsi" w:cstheme="minorHAnsi"/>
        </w:rPr>
        <w:t>benefits</w:t>
      </w:r>
      <w:r w:rsidR="00823ACA">
        <w:rPr>
          <w:rFonts w:asciiTheme="minorHAnsi" w:hAnsiTheme="minorHAnsi" w:cstheme="minorHAnsi"/>
        </w:rPr>
        <w:t xml:space="preserve"> </w:t>
      </w:r>
      <w:r w:rsidR="00D839E9">
        <w:rPr>
          <w:rFonts w:asciiTheme="minorHAnsi" w:hAnsiTheme="minorHAnsi" w:cstheme="minorHAnsi"/>
        </w:rPr>
        <w:t xml:space="preserve">can be found </w:t>
      </w:r>
      <w:r w:rsidR="00823ACA">
        <w:rPr>
          <w:rFonts w:asciiTheme="minorHAnsi" w:hAnsiTheme="minorHAnsi" w:cstheme="minorHAnsi"/>
        </w:rPr>
        <w:t>by</w:t>
      </w:r>
      <w:r w:rsidR="00D839E9">
        <w:rPr>
          <w:rFonts w:asciiTheme="minorHAnsi" w:hAnsiTheme="minorHAnsi" w:cstheme="minorHAnsi"/>
        </w:rPr>
        <w:t xml:space="preserve"> making operators aware of deviation from optimal tyre pressures during normal use. This may achieve efficiency and safety benefits</w:t>
      </w:r>
      <w:r w:rsidR="00823ACA">
        <w:rPr>
          <w:rFonts w:asciiTheme="minorHAnsi" w:hAnsiTheme="minorHAnsi" w:cstheme="minorHAnsi"/>
        </w:rPr>
        <w:t xml:space="preserve"> for</w:t>
      </w:r>
      <w:r w:rsidR="00D839E9">
        <w:rPr>
          <w:rFonts w:asciiTheme="minorHAnsi" w:hAnsiTheme="minorHAnsi" w:cstheme="minorHAnsi"/>
        </w:rPr>
        <w:t xml:space="preserve"> two main reasons:</w:t>
      </w:r>
    </w:p>
    <w:p w14:paraId="2E04A8DF" w14:textId="5D83C064" w:rsidR="00D839E9" w:rsidRDefault="00463E57" w:rsidP="00D839E9">
      <w:pPr>
        <w:pStyle w:val="ListParagraph"/>
        <w:numPr>
          <w:ilvl w:val="0"/>
          <w:numId w:val="18"/>
        </w:numPr>
        <w:spacing w:before="120" w:after="120"/>
        <w:textAlignment w:val="center"/>
        <w:rPr>
          <w:rFonts w:asciiTheme="minorHAnsi" w:hAnsiTheme="minorHAnsi" w:cstheme="minorHAnsi"/>
        </w:rPr>
      </w:pPr>
      <w:r>
        <w:rPr>
          <w:rFonts w:asciiTheme="minorHAnsi" w:hAnsiTheme="minorHAnsi" w:cstheme="minorHAnsi"/>
        </w:rPr>
        <w:t>Maintaining r</w:t>
      </w:r>
      <w:r w:rsidR="00C32254">
        <w:rPr>
          <w:rFonts w:asciiTheme="minorHAnsi" w:hAnsiTheme="minorHAnsi" w:cstheme="minorHAnsi"/>
        </w:rPr>
        <w:t xml:space="preserve">ecommended pressures </w:t>
      </w:r>
      <w:r>
        <w:rPr>
          <w:rFonts w:asciiTheme="minorHAnsi" w:hAnsiTheme="minorHAnsi" w:cstheme="minorHAnsi"/>
        </w:rPr>
        <w:t>allows</w:t>
      </w:r>
      <w:r w:rsidR="00C32254">
        <w:rPr>
          <w:rFonts w:asciiTheme="minorHAnsi" w:hAnsiTheme="minorHAnsi" w:cstheme="minorHAnsi"/>
        </w:rPr>
        <w:t xml:space="preserve"> </w:t>
      </w:r>
      <w:r w:rsidR="00D839E9">
        <w:rPr>
          <w:rFonts w:asciiTheme="minorHAnsi" w:hAnsiTheme="minorHAnsi" w:cstheme="minorHAnsi"/>
        </w:rPr>
        <w:t>best</w:t>
      </w:r>
      <w:r>
        <w:rPr>
          <w:rFonts w:asciiTheme="minorHAnsi" w:hAnsiTheme="minorHAnsi" w:cstheme="minorHAnsi"/>
        </w:rPr>
        <w:t xml:space="preserve"> average</w:t>
      </w:r>
      <w:r w:rsidR="00D839E9">
        <w:rPr>
          <w:rFonts w:asciiTheme="minorHAnsi" w:hAnsiTheme="minorHAnsi" w:cstheme="minorHAnsi"/>
        </w:rPr>
        <w:t xml:space="preserve"> rolling resistance</w:t>
      </w:r>
      <w:r>
        <w:rPr>
          <w:rFonts w:asciiTheme="minorHAnsi" w:hAnsiTheme="minorHAnsi" w:cstheme="minorHAnsi"/>
        </w:rPr>
        <w:t>, giving improved fuel efficiency and decreased carbon emissions</w:t>
      </w:r>
      <w:r w:rsidR="00D839E9">
        <w:rPr>
          <w:rFonts w:asciiTheme="minorHAnsi" w:hAnsiTheme="minorHAnsi" w:cstheme="minorHAnsi"/>
        </w:rPr>
        <w:t>.</w:t>
      </w:r>
      <w:r w:rsidR="00661BC7">
        <w:rPr>
          <w:rFonts w:asciiTheme="minorHAnsi" w:hAnsiTheme="minorHAnsi" w:cstheme="minorHAnsi"/>
        </w:rPr>
        <w:t xml:space="preserve"> </w:t>
      </w:r>
      <w:r w:rsidR="006B7AE4">
        <w:rPr>
          <w:rFonts w:asciiTheme="minorHAnsi" w:hAnsiTheme="minorHAnsi" w:cstheme="minorHAnsi"/>
        </w:rPr>
        <w:t>For electric vehicles there will be increased power efficiency</w:t>
      </w:r>
      <w:r w:rsidR="00E90516">
        <w:rPr>
          <w:rFonts w:asciiTheme="minorHAnsi" w:hAnsiTheme="minorHAnsi" w:cstheme="minorHAnsi"/>
        </w:rPr>
        <w:t xml:space="preserve"> and in turn</w:t>
      </w:r>
      <w:r w:rsidR="00B83709">
        <w:rPr>
          <w:rFonts w:asciiTheme="minorHAnsi" w:hAnsiTheme="minorHAnsi" w:cstheme="minorHAnsi"/>
        </w:rPr>
        <w:t xml:space="preserve"> increased range and</w:t>
      </w:r>
      <w:r w:rsidR="00E90516">
        <w:rPr>
          <w:rFonts w:asciiTheme="minorHAnsi" w:hAnsiTheme="minorHAnsi" w:cstheme="minorHAnsi"/>
        </w:rPr>
        <w:t xml:space="preserve"> a lower impact on the electricity grid from charging demand</w:t>
      </w:r>
      <w:r w:rsidR="006B7AE4">
        <w:rPr>
          <w:rFonts w:asciiTheme="minorHAnsi" w:hAnsiTheme="minorHAnsi" w:cstheme="minorHAnsi"/>
        </w:rPr>
        <w:t xml:space="preserve">. </w:t>
      </w:r>
    </w:p>
    <w:p w14:paraId="03CF4656" w14:textId="6AD8A02B" w:rsidR="00463E57" w:rsidRPr="00463E57" w:rsidRDefault="00463E57" w:rsidP="00463E57">
      <w:pPr>
        <w:pStyle w:val="ListParagraph"/>
        <w:numPr>
          <w:ilvl w:val="0"/>
          <w:numId w:val="18"/>
        </w:numPr>
        <w:spacing w:before="120" w:after="120"/>
        <w:textAlignment w:val="center"/>
        <w:rPr>
          <w:rFonts w:asciiTheme="minorHAnsi" w:hAnsiTheme="minorHAnsi" w:cstheme="minorHAnsi"/>
        </w:rPr>
      </w:pPr>
      <w:r>
        <w:rPr>
          <w:rFonts w:asciiTheme="minorHAnsi" w:hAnsiTheme="minorHAnsi" w:cstheme="minorHAnsi"/>
        </w:rPr>
        <w:t>Maintaining r</w:t>
      </w:r>
      <w:r w:rsidR="00C32254">
        <w:rPr>
          <w:rFonts w:asciiTheme="minorHAnsi" w:hAnsiTheme="minorHAnsi" w:cstheme="minorHAnsi"/>
        </w:rPr>
        <w:t xml:space="preserve">ecommended pressures </w:t>
      </w:r>
      <w:r>
        <w:rPr>
          <w:rFonts w:asciiTheme="minorHAnsi" w:hAnsiTheme="minorHAnsi" w:cstheme="minorHAnsi"/>
        </w:rPr>
        <w:t>allows</w:t>
      </w:r>
      <w:r w:rsidR="00BC0248">
        <w:rPr>
          <w:rFonts w:asciiTheme="minorHAnsi" w:hAnsiTheme="minorHAnsi" w:cstheme="minorHAnsi"/>
        </w:rPr>
        <w:t xml:space="preserve"> </w:t>
      </w:r>
      <w:r w:rsidR="00160F31">
        <w:rPr>
          <w:rFonts w:asciiTheme="minorHAnsi" w:hAnsiTheme="minorHAnsi" w:cstheme="minorHAnsi"/>
        </w:rPr>
        <w:t xml:space="preserve">efficient use of the </w:t>
      </w:r>
      <w:r w:rsidR="00BC0248">
        <w:rPr>
          <w:rFonts w:asciiTheme="minorHAnsi" w:hAnsiTheme="minorHAnsi" w:cstheme="minorHAnsi"/>
        </w:rPr>
        <w:t xml:space="preserve">tyre </w:t>
      </w:r>
      <w:r w:rsidR="00340D6C">
        <w:rPr>
          <w:rFonts w:asciiTheme="minorHAnsi" w:hAnsiTheme="minorHAnsi" w:cstheme="minorHAnsi"/>
        </w:rPr>
        <w:t>contact patch</w:t>
      </w:r>
      <w:r>
        <w:rPr>
          <w:rFonts w:asciiTheme="minorHAnsi" w:hAnsiTheme="minorHAnsi" w:cstheme="minorHAnsi"/>
        </w:rPr>
        <w:t>,</w:t>
      </w:r>
      <w:r w:rsidR="00160F31">
        <w:rPr>
          <w:rFonts w:asciiTheme="minorHAnsi" w:hAnsiTheme="minorHAnsi" w:cstheme="minorHAnsi"/>
        </w:rPr>
        <w:t xml:space="preserve"> balancing the benefits </w:t>
      </w:r>
      <w:r w:rsidR="008929C9">
        <w:rPr>
          <w:rFonts w:asciiTheme="minorHAnsi" w:hAnsiTheme="minorHAnsi" w:cstheme="minorHAnsi"/>
        </w:rPr>
        <w:t>of</w:t>
      </w:r>
      <w:r>
        <w:rPr>
          <w:rFonts w:asciiTheme="minorHAnsi" w:hAnsiTheme="minorHAnsi" w:cstheme="minorHAnsi"/>
        </w:rPr>
        <w:t xml:space="preserve"> </w:t>
      </w:r>
      <w:r w:rsidR="00C32254">
        <w:rPr>
          <w:rFonts w:asciiTheme="minorHAnsi" w:hAnsiTheme="minorHAnsi" w:cstheme="minorHAnsi"/>
        </w:rPr>
        <w:t>load distribution</w:t>
      </w:r>
      <w:r>
        <w:rPr>
          <w:rFonts w:asciiTheme="minorHAnsi" w:hAnsiTheme="minorHAnsi" w:cstheme="minorHAnsi"/>
        </w:rPr>
        <w:t xml:space="preserve"> and road grip</w:t>
      </w:r>
      <w:r w:rsidR="00160F31">
        <w:rPr>
          <w:rFonts w:asciiTheme="minorHAnsi" w:hAnsiTheme="minorHAnsi" w:cstheme="minorHAnsi"/>
        </w:rPr>
        <w:t xml:space="preserve"> with tyre </w:t>
      </w:r>
      <w:r w:rsidR="00BC0248">
        <w:rPr>
          <w:rFonts w:asciiTheme="minorHAnsi" w:hAnsiTheme="minorHAnsi" w:cstheme="minorHAnsi"/>
        </w:rPr>
        <w:t>wear and prevent</w:t>
      </w:r>
      <w:r w:rsidR="00C32254">
        <w:rPr>
          <w:rFonts w:asciiTheme="minorHAnsi" w:hAnsiTheme="minorHAnsi" w:cstheme="minorHAnsi"/>
        </w:rPr>
        <w:t xml:space="preserve">ing tyre </w:t>
      </w:r>
      <w:r w:rsidR="00BC0248">
        <w:rPr>
          <w:rFonts w:asciiTheme="minorHAnsi" w:hAnsiTheme="minorHAnsi" w:cstheme="minorHAnsi"/>
        </w:rPr>
        <w:t>structural damage</w:t>
      </w:r>
      <w:r>
        <w:rPr>
          <w:rFonts w:asciiTheme="minorHAnsi" w:hAnsiTheme="minorHAnsi" w:cstheme="minorHAnsi"/>
        </w:rPr>
        <w:t xml:space="preserve"> due to excessive sidewall deformation</w:t>
      </w:r>
      <w:r w:rsidR="00827CF7">
        <w:rPr>
          <w:rFonts w:asciiTheme="minorHAnsi" w:hAnsiTheme="minorHAnsi" w:cstheme="minorHAnsi"/>
        </w:rPr>
        <w:t xml:space="preserve">. </w:t>
      </w:r>
    </w:p>
    <w:p w14:paraId="41CA041E" w14:textId="77777777" w:rsidR="00806C27" w:rsidRPr="00B11FDA" w:rsidRDefault="00806C27" w:rsidP="00806C27">
      <w:pPr>
        <w:pStyle w:val="BoxTitle"/>
      </w:pPr>
      <w:r>
        <w:t>I</w:t>
      </w:r>
      <w:r w:rsidRPr="00B11FDA">
        <w:t>ncorrect or under-maintained tyre inflation</w:t>
      </w:r>
      <w:r>
        <w:t xml:space="preserve"> – why does it matter?</w:t>
      </w:r>
    </w:p>
    <w:p w14:paraId="1492E4E9" w14:textId="06EE965D" w:rsidR="006968DF" w:rsidRDefault="006968DF" w:rsidP="006968DF">
      <w:pPr>
        <w:spacing w:before="120" w:after="120" w:line="240" w:lineRule="auto"/>
        <w:textAlignment w:val="center"/>
        <w:rPr>
          <w:rFonts w:asciiTheme="minorHAnsi" w:hAnsiTheme="minorHAnsi" w:cstheme="minorHAnsi"/>
        </w:rPr>
      </w:pPr>
      <w:r w:rsidRPr="00C54F6C">
        <w:rPr>
          <w:rFonts w:asciiTheme="minorHAnsi" w:hAnsiTheme="minorHAnsi" w:cstheme="minorHAnsi"/>
        </w:rPr>
        <w:t xml:space="preserve">A </w:t>
      </w:r>
      <w:r w:rsidR="00BA7F01">
        <w:rPr>
          <w:rFonts w:asciiTheme="minorHAnsi" w:hAnsiTheme="minorHAnsi" w:cstheme="minorHAnsi"/>
        </w:rPr>
        <w:t xml:space="preserve">UNECE </w:t>
      </w:r>
      <w:r>
        <w:rPr>
          <w:rFonts w:asciiTheme="minorHAnsi" w:hAnsiTheme="minorHAnsi" w:cstheme="minorHAnsi"/>
        </w:rPr>
        <w:t>TPMS Fitment and Tyre Inflation Pressures Field Study done</w:t>
      </w:r>
      <w:r w:rsidR="00AB0F59">
        <w:rPr>
          <w:rFonts w:asciiTheme="minorHAnsi" w:hAnsiTheme="minorHAnsi" w:cstheme="minorHAnsi"/>
        </w:rPr>
        <w:t xml:space="preserve"> </w:t>
      </w:r>
      <w:r>
        <w:rPr>
          <w:rFonts w:asciiTheme="minorHAnsi" w:hAnsiTheme="minorHAnsi" w:cstheme="minorHAnsi"/>
        </w:rPr>
        <w:t>in 2016/2017</w:t>
      </w:r>
      <w:r w:rsidR="00B83709">
        <w:rPr>
          <w:rStyle w:val="FootnoteReference"/>
          <w:rFonts w:asciiTheme="minorHAnsi" w:hAnsiTheme="minorHAnsi" w:cstheme="minorHAnsi"/>
        </w:rPr>
        <w:footnoteReference w:id="2"/>
      </w:r>
      <w:r>
        <w:rPr>
          <w:rFonts w:asciiTheme="minorHAnsi" w:hAnsiTheme="minorHAnsi" w:cstheme="minorHAnsi"/>
        </w:rPr>
        <w:t xml:space="preserve"> </w:t>
      </w:r>
      <w:r w:rsidRPr="00C54F6C">
        <w:rPr>
          <w:rFonts w:asciiTheme="minorHAnsi" w:hAnsiTheme="minorHAnsi" w:cstheme="minorHAnsi"/>
        </w:rPr>
        <w:t>suggests that up to 64</w:t>
      </w:r>
      <w:r w:rsidR="00B25C8D">
        <w:rPr>
          <w:rFonts w:asciiTheme="minorHAnsi" w:hAnsiTheme="minorHAnsi" w:cstheme="minorHAnsi"/>
        </w:rPr>
        <w:t>%</w:t>
      </w:r>
      <w:r w:rsidRPr="00C54F6C">
        <w:rPr>
          <w:rFonts w:asciiTheme="minorHAnsi" w:hAnsiTheme="minorHAnsi" w:cstheme="minorHAnsi"/>
        </w:rPr>
        <w:t xml:space="preserve"> of vehicles in service have some level of tyre under-inflation, with up to </w:t>
      </w:r>
      <w:r w:rsidR="005D5315">
        <w:rPr>
          <w:rFonts w:asciiTheme="minorHAnsi" w:hAnsiTheme="minorHAnsi" w:cstheme="minorHAnsi"/>
        </w:rPr>
        <w:t>25%</w:t>
      </w:r>
      <w:r w:rsidRPr="00C54F6C">
        <w:rPr>
          <w:rFonts w:asciiTheme="minorHAnsi" w:hAnsiTheme="minorHAnsi" w:cstheme="minorHAnsi"/>
        </w:rPr>
        <w:t xml:space="preserve"> having under-inflation </w:t>
      </w:r>
      <w:r>
        <w:rPr>
          <w:rFonts w:asciiTheme="minorHAnsi" w:hAnsiTheme="minorHAnsi" w:cstheme="minorHAnsi"/>
        </w:rPr>
        <w:t xml:space="preserve">of </w:t>
      </w:r>
      <w:r w:rsidRPr="00C54F6C">
        <w:rPr>
          <w:rFonts w:asciiTheme="minorHAnsi" w:hAnsiTheme="minorHAnsi" w:cstheme="minorHAnsi"/>
        </w:rPr>
        <w:t>more than 10</w:t>
      </w:r>
      <w:r w:rsidR="005D5315">
        <w:rPr>
          <w:rFonts w:asciiTheme="minorHAnsi" w:hAnsiTheme="minorHAnsi" w:cstheme="minorHAnsi"/>
        </w:rPr>
        <w:t>%.</w:t>
      </w:r>
      <w:r>
        <w:rPr>
          <w:rFonts w:asciiTheme="minorHAnsi" w:hAnsiTheme="minorHAnsi" w:cstheme="minorHAnsi"/>
        </w:rPr>
        <w:t xml:space="preserve"> The survey found a fitment rate for TPMS of 54</w:t>
      </w:r>
      <w:r w:rsidR="00B25C8D">
        <w:rPr>
          <w:rFonts w:asciiTheme="minorHAnsi" w:hAnsiTheme="minorHAnsi" w:cstheme="minorHAnsi"/>
        </w:rPr>
        <w:t>%</w:t>
      </w:r>
      <w:r>
        <w:rPr>
          <w:rFonts w:asciiTheme="minorHAnsi" w:hAnsiTheme="minorHAnsi" w:cstheme="minorHAnsi"/>
        </w:rPr>
        <w:t xml:space="preserve"> and that those cars fitted with TPMS on average had better tyre inflation pressure. The issue of tyre under</w:t>
      </w:r>
      <w:r w:rsidR="00652BF3">
        <w:rPr>
          <w:rFonts w:asciiTheme="minorHAnsi" w:hAnsiTheme="minorHAnsi" w:cstheme="minorHAnsi"/>
        </w:rPr>
        <w:t>-</w:t>
      </w:r>
      <w:r>
        <w:rPr>
          <w:rFonts w:asciiTheme="minorHAnsi" w:hAnsiTheme="minorHAnsi" w:cstheme="minorHAnsi"/>
        </w:rPr>
        <w:t xml:space="preserve">inflation </w:t>
      </w:r>
      <w:r w:rsidRPr="00C54F6C">
        <w:rPr>
          <w:rFonts w:asciiTheme="minorHAnsi" w:hAnsiTheme="minorHAnsi" w:cstheme="minorHAnsi"/>
        </w:rPr>
        <w:t>in Australia</w:t>
      </w:r>
      <w:r>
        <w:rPr>
          <w:rFonts w:asciiTheme="minorHAnsi" w:hAnsiTheme="minorHAnsi" w:cstheme="minorHAnsi"/>
        </w:rPr>
        <w:t xml:space="preserve"> is likely to be far worse due to TPMS not being mandated</w:t>
      </w:r>
      <w:r w:rsidR="005D5315">
        <w:rPr>
          <w:rFonts w:asciiTheme="minorHAnsi" w:hAnsiTheme="minorHAnsi" w:cstheme="minorHAnsi"/>
        </w:rPr>
        <w:t xml:space="preserve"> at all</w:t>
      </w:r>
      <w:r>
        <w:rPr>
          <w:rFonts w:asciiTheme="minorHAnsi" w:hAnsiTheme="minorHAnsi" w:cstheme="minorHAnsi"/>
        </w:rPr>
        <w:t xml:space="preserve"> here</w:t>
      </w:r>
      <w:r w:rsidRPr="00C54F6C">
        <w:rPr>
          <w:rFonts w:asciiTheme="minorHAnsi" w:hAnsiTheme="minorHAnsi" w:cstheme="minorHAnsi"/>
        </w:rPr>
        <w:t xml:space="preserve">. </w:t>
      </w:r>
    </w:p>
    <w:p w14:paraId="365F67B4" w14:textId="6ACEF657" w:rsidR="006968DF" w:rsidRPr="00F849D4" w:rsidRDefault="00AB0F59" w:rsidP="00F849D4">
      <w:pPr>
        <w:spacing w:before="120" w:after="120" w:line="240" w:lineRule="auto"/>
        <w:textAlignment w:val="center"/>
        <w:rPr>
          <w:rFonts w:asciiTheme="minorHAnsi" w:hAnsiTheme="minorHAnsi" w:cstheme="minorHAnsi"/>
        </w:rPr>
      </w:pPr>
      <w:r>
        <w:rPr>
          <w:rFonts w:asciiTheme="minorHAnsi" w:hAnsiTheme="minorHAnsi" w:cstheme="minorHAnsi"/>
        </w:rPr>
        <w:t>These factors are</w:t>
      </w:r>
      <w:r w:rsidR="006968DF">
        <w:rPr>
          <w:rFonts w:asciiTheme="minorHAnsi" w:hAnsiTheme="minorHAnsi" w:cstheme="minorHAnsi"/>
        </w:rPr>
        <w:t xml:space="preserve"> influenced by under</w:t>
      </w:r>
      <w:r>
        <w:rPr>
          <w:rFonts w:asciiTheme="minorHAnsi" w:hAnsiTheme="minorHAnsi" w:cstheme="minorHAnsi"/>
        </w:rPr>
        <w:t>-</w:t>
      </w:r>
      <w:r w:rsidR="006968DF">
        <w:rPr>
          <w:rFonts w:asciiTheme="minorHAnsi" w:hAnsiTheme="minorHAnsi" w:cstheme="minorHAnsi"/>
        </w:rPr>
        <w:t>inflation:</w:t>
      </w:r>
    </w:p>
    <w:p w14:paraId="7E0CD98C" w14:textId="608B4825" w:rsidR="00806C27" w:rsidRPr="001F5B29" w:rsidRDefault="00DB3E2F" w:rsidP="001F5B29">
      <w:pPr>
        <w:pStyle w:val="ListParagraph"/>
        <w:numPr>
          <w:ilvl w:val="0"/>
          <w:numId w:val="16"/>
        </w:numPr>
        <w:spacing w:before="120" w:after="120"/>
        <w:textAlignment w:val="center"/>
        <w:rPr>
          <w:rFonts w:cs="Calibri"/>
        </w:rPr>
      </w:pPr>
      <w:r>
        <w:rPr>
          <w:rFonts w:cs="Calibri"/>
        </w:rPr>
        <w:t xml:space="preserve">Energy efficiency – </w:t>
      </w:r>
      <w:r w:rsidR="00806C27" w:rsidRPr="002C26CC">
        <w:rPr>
          <w:rFonts w:cs="Calibri"/>
        </w:rPr>
        <w:t>A vehicle with under</w:t>
      </w:r>
      <w:r w:rsidR="00AB0F59">
        <w:rPr>
          <w:rFonts w:cs="Calibri"/>
        </w:rPr>
        <w:t>-</w:t>
      </w:r>
      <w:r w:rsidR="00806C27" w:rsidRPr="002C26CC">
        <w:rPr>
          <w:rFonts w:cs="Calibri"/>
        </w:rPr>
        <w:t>inflated tyres</w:t>
      </w:r>
      <w:r w:rsidR="00806C27">
        <w:rPr>
          <w:rFonts w:cs="Calibri"/>
        </w:rPr>
        <w:t xml:space="preserve"> has increased rolling resistance</w:t>
      </w:r>
      <w:r w:rsidR="009F1AB1">
        <w:rPr>
          <w:rFonts w:cs="Calibri"/>
        </w:rPr>
        <w:t xml:space="preserve"> and</w:t>
      </w:r>
      <w:r w:rsidR="00806C27" w:rsidRPr="002C26CC">
        <w:rPr>
          <w:rFonts w:cs="Calibri"/>
        </w:rPr>
        <w:t xml:space="preserve"> requires more power to maintain a given speed or accelerate</w:t>
      </w:r>
      <w:r w:rsidR="00C749BD">
        <w:rPr>
          <w:rFonts w:cs="Calibri"/>
        </w:rPr>
        <w:t xml:space="preserve"> </w:t>
      </w:r>
      <w:r w:rsidR="00DA570C">
        <w:rPr>
          <w:rFonts w:cs="Calibri"/>
        </w:rPr>
        <w:t>(</w:t>
      </w:r>
      <w:r w:rsidR="00C749BD">
        <w:rPr>
          <w:rFonts w:cs="Calibri"/>
        </w:rPr>
        <w:t xml:space="preserve">DG CLIMA </w:t>
      </w:r>
      <w:r w:rsidR="00DA570C">
        <w:rPr>
          <w:rFonts w:cs="Calibri"/>
        </w:rPr>
        <w:t xml:space="preserve">TNO </w:t>
      </w:r>
      <w:r w:rsidR="00C749BD">
        <w:rPr>
          <w:rFonts w:cs="Calibri"/>
        </w:rPr>
        <w:t>Study)</w:t>
      </w:r>
      <w:r w:rsidR="00DA570C">
        <w:rPr>
          <w:rStyle w:val="FootnoteReference"/>
          <w:rFonts w:cs="Calibri"/>
        </w:rPr>
        <w:footnoteReference w:id="3"/>
      </w:r>
      <w:r w:rsidR="00C749BD">
        <w:rPr>
          <w:rFonts w:cs="Calibri"/>
        </w:rPr>
        <w:t>, resulting in the vehicle</w:t>
      </w:r>
      <w:r w:rsidR="00193D76">
        <w:rPr>
          <w:rFonts w:cs="Calibri"/>
        </w:rPr>
        <w:t xml:space="preserve"> </w:t>
      </w:r>
      <w:r w:rsidR="00C749BD" w:rsidRPr="00193D76">
        <w:rPr>
          <w:rFonts w:cs="Calibri"/>
        </w:rPr>
        <w:t xml:space="preserve">using </w:t>
      </w:r>
      <w:r w:rsidR="00806C27" w:rsidRPr="00974FCE">
        <w:rPr>
          <w:rFonts w:cs="Calibri"/>
        </w:rPr>
        <w:t xml:space="preserve">more fuel and </w:t>
      </w:r>
      <w:r w:rsidR="009F1AB1" w:rsidRPr="00974FCE">
        <w:rPr>
          <w:rFonts w:cs="Calibri"/>
        </w:rPr>
        <w:t>emit</w:t>
      </w:r>
      <w:r w:rsidR="00C749BD" w:rsidRPr="00974FCE">
        <w:rPr>
          <w:rFonts w:cs="Calibri"/>
        </w:rPr>
        <w:t>ting</w:t>
      </w:r>
      <w:r w:rsidR="009F1AB1" w:rsidRPr="00974FCE">
        <w:rPr>
          <w:rFonts w:cs="Calibri"/>
        </w:rPr>
        <w:t xml:space="preserve"> </w:t>
      </w:r>
      <w:r w:rsidR="00806C27" w:rsidRPr="00974FCE">
        <w:rPr>
          <w:rFonts w:cs="Calibri"/>
        </w:rPr>
        <w:t xml:space="preserve">more greenhouse </w:t>
      </w:r>
      <w:r w:rsidR="0008469E" w:rsidRPr="00974FCE">
        <w:rPr>
          <w:rFonts w:cs="Calibri"/>
        </w:rPr>
        <w:t xml:space="preserve">and noxious emissions </w:t>
      </w:r>
      <w:r w:rsidR="00806C27" w:rsidRPr="00974FCE">
        <w:rPr>
          <w:rFonts w:cs="Calibri"/>
        </w:rPr>
        <w:t>as a result.</w:t>
      </w:r>
      <w:r w:rsidR="00317E8B" w:rsidRPr="00974FCE">
        <w:rPr>
          <w:rFonts w:cs="Calibri"/>
        </w:rPr>
        <w:t xml:space="preserve"> </w:t>
      </w:r>
      <w:r w:rsidR="009F1AB1" w:rsidRPr="00974FCE">
        <w:rPr>
          <w:rFonts w:cs="Calibri"/>
        </w:rPr>
        <w:t>Similarly</w:t>
      </w:r>
      <w:r w:rsidR="00317E8B" w:rsidRPr="00974FCE">
        <w:rPr>
          <w:rFonts w:cs="Calibri"/>
        </w:rPr>
        <w:t xml:space="preserve">, </w:t>
      </w:r>
      <w:r w:rsidR="00D642E0" w:rsidRPr="0083590E">
        <w:rPr>
          <w:rFonts w:cs="Calibri"/>
        </w:rPr>
        <w:t>electric vehicles would use more battery charge</w:t>
      </w:r>
      <w:r w:rsidR="0083590E">
        <w:rPr>
          <w:rFonts w:cs="Calibri"/>
        </w:rPr>
        <w:t xml:space="preserve">. </w:t>
      </w:r>
      <w:r w:rsidR="00806C27" w:rsidRPr="0083590E">
        <w:rPr>
          <w:rFonts w:cs="Calibri"/>
        </w:rPr>
        <w:t xml:space="preserve">Using </w:t>
      </w:r>
      <w:r w:rsidR="006968DF" w:rsidRPr="0083590E">
        <w:rPr>
          <w:rFonts w:cs="Calibri"/>
        </w:rPr>
        <w:t xml:space="preserve">the </w:t>
      </w:r>
      <w:r w:rsidR="00806C27" w:rsidRPr="0083590E">
        <w:rPr>
          <w:rFonts w:cs="Calibri"/>
        </w:rPr>
        <w:t xml:space="preserve">available </w:t>
      </w:r>
      <w:r w:rsidR="00BA7F01" w:rsidRPr="001F5B29">
        <w:rPr>
          <w:rFonts w:cs="Calibri"/>
        </w:rPr>
        <w:t xml:space="preserve">UNECE </w:t>
      </w:r>
      <w:r w:rsidR="0005355D" w:rsidRPr="001F5B29">
        <w:rPr>
          <w:rFonts w:cs="Calibri"/>
        </w:rPr>
        <w:t xml:space="preserve">Field Study </w:t>
      </w:r>
      <w:r w:rsidR="00806C27" w:rsidRPr="001F5B29">
        <w:rPr>
          <w:rFonts w:cs="Calibri"/>
        </w:rPr>
        <w:t>figures</w:t>
      </w:r>
      <w:r w:rsidR="00C749BD" w:rsidRPr="001F5B29">
        <w:rPr>
          <w:rFonts w:cs="Calibri"/>
        </w:rPr>
        <w:t xml:space="preserve"> referred to above</w:t>
      </w:r>
      <w:r w:rsidR="00806C27" w:rsidRPr="001F5B29">
        <w:rPr>
          <w:rFonts w:cs="Calibri"/>
        </w:rPr>
        <w:t>, fleet average rolling resistance may be between 1.6</w:t>
      </w:r>
      <w:r w:rsidR="00B25C8D" w:rsidRPr="001F5B29">
        <w:rPr>
          <w:rFonts w:cs="Calibri"/>
        </w:rPr>
        <w:t>%</w:t>
      </w:r>
      <w:r w:rsidR="00806C27" w:rsidRPr="001F5B29">
        <w:rPr>
          <w:rFonts w:cs="Calibri"/>
        </w:rPr>
        <w:t xml:space="preserve"> and 2.4</w:t>
      </w:r>
      <w:r w:rsidR="00B25C8D" w:rsidRPr="001F5B29">
        <w:rPr>
          <w:rFonts w:cs="Calibri"/>
        </w:rPr>
        <w:t>%</w:t>
      </w:r>
      <w:r w:rsidR="00806C27" w:rsidRPr="001F5B29">
        <w:rPr>
          <w:rFonts w:cs="Calibri"/>
        </w:rPr>
        <w:t xml:space="preserve"> higher due to under-inflated tyres</w:t>
      </w:r>
    </w:p>
    <w:p w14:paraId="4E02CA37" w14:textId="71074248" w:rsidR="00806C27" w:rsidRDefault="00DB3E2F" w:rsidP="00806C27">
      <w:pPr>
        <w:pStyle w:val="ListParagraph"/>
        <w:numPr>
          <w:ilvl w:val="0"/>
          <w:numId w:val="16"/>
        </w:numPr>
        <w:spacing w:before="120" w:after="120"/>
        <w:textAlignment w:val="center"/>
        <w:rPr>
          <w:rFonts w:cs="Calibri"/>
        </w:rPr>
      </w:pPr>
      <w:r>
        <w:rPr>
          <w:rFonts w:cs="Calibri"/>
        </w:rPr>
        <w:t xml:space="preserve">Tyre wear – </w:t>
      </w:r>
      <w:r w:rsidR="00806C27" w:rsidRPr="002C26CC">
        <w:rPr>
          <w:rFonts w:cs="Calibri"/>
        </w:rPr>
        <w:t xml:space="preserve">Under inflated tyres lead to increased tyre wear. The result is shorter overall service life of tyres and potential breakdowns due to tyre failure. </w:t>
      </w:r>
      <w:r w:rsidR="00160F9A">
        <w:rPr>
          <w:rFonts w:cs="Calibri"/>
        </w:rPr>
        <w:t>Based on the UNECE Field Study, a</w:t>
      </w:r>
      <w:r w:rsidR="00806C27" w:rsidRPr="002C26CC">
        <w:rPr>
          <w:rFonts w:cs="Calibri"/>
        </w:rPr>
        <w:t>n estimated 64</w:t>
      </w:r>
      <w:r w:rsidR="00B25C8D">
        <w:rPr>
          <w:rFonts w:cs="Calibri"/>
        </w:rPr>
        <w:t>%</w:t>
      </w:r>
      <w:r w:rsidR="00806C27" w:rsidRPr="002C26CC">
        <w:rPr>
          <w:rFonts w:cs="Calibri"/>
        </w:rPr>
        <w:t xml:space="preserve"> of the </w:t>
      </w:r>
      <w:r w:rsidR="00D642E0">
        <w:rPr>
          <w:rFonts w:cs="Calibri"/>
        </w:rPr>
        <w:t xml:space="preserve">Australian </w:t>
      </w:r>
      <w:r w:rsidR="00806C27" w:rsidRPr="002C26CC">
        <w:rPr>
          <w:rFonts w:cs="Calibri"/>
        </w:rPr>
        <w:t xml:space="preserve">fleet, some 12.65 million vehicles, </w:t>
      </w:r>
      <w:r w:rsidR="00160F9A">
        <w:rPr>
          <w:rFonts w:cs="Calibri"/>
        </w:rPr>
        <w:t xml:space="preserve">would </w:t>
      </w:r>
      <w:r w:rsidR="00806C27" w:rsidRPr="002C26CC">
        <w:rPr>
          <w:rFonts w:cs="Calibri"/>
        </w:rPr>
        <w:t>have some level of accelerated tyre wear</w:t>
      </w:r>
      <w:r w:rsidR="00362683">
        <w:rPr>
          <w:rFonts w:cs="Calibri"/>
        </w:rPr>
        <w:t xml:space="preserve"> </w:t>
      </w:r>
      <w:r w:rsidR="00806C27" w:rsidRPr="002C26CC">
        <w:rPr>
          <w:rFonts w:cs="Calibri"/>
        </w:rPr>
        <w:t>due to under-inflated tyres</w:t>
      </w:r>
      <w:r w:rsidR="00C749BD">
        <w:rPr>
          <w:rFonts w:cs="Calibri"/>
        </w:rPr>
        <w:t xml:space="preserve"> (estimated using DG CLIMA TNO Study modelling)</w:t>
      </w:r>
      <w:r w:rsidR="00B25C8D">
        <w:rPr>
          <w:rFonts w:cs="Calibri"/>
        </w:rPr>
        <w:t xml:space="preserve">. </w:t>
      </w:r>
    </w:p>
    <w:p w14:paraId="5C1491A5" w14:textId="0458D3F0" w:rsidR="00806C27" w:rsidRPr="002C26CC" w:rsidRDefault="00DB3E2F" w:rsidP="00806C27">
      <w:pPr>
        <w:pStyle w:val="ListParagraph"/>
        <w:numPr>
          <w:ilvl w:val="0"/>
          <w:numId w:val="16"/>
        </w:numPr>
        <w:spacing w:before="120" w:after="120"/>
        <w:textAlignment w:val="center"/>
        <w:rPr>
          <w:rFonts w:cs="Calibri"/>
        </w:rPr>
      </w:pPr>
      <w:r>
        <w:rPr>
          <w:rFonts w:cs="Calibri"/>
        </w:rPr>
        <w:t xml:space="preserve">Tyre particulate emissions – </w:t>
      </w:r>
      <w:r w:rsidR="00806C27">
        <w:rPr>
          <w:rFonts w:cs="Calibri"/>
        </w:rPr>
        <w:t xml:space="preserve">Additional wear due to under-inflation leads to higher tyre particulate matter emissions. Tyre particulate matter has been an overlooked problem. </w:t>
      </w:r>
      <w:r w:rsidR="00D27196">
        <w:rPr>
          <w:rFonts w:cs="Calibri"/>
        </w:rPr>
        <w:t xml:space="preserve">With a global </w:t>
      </w:r>
      <w:r w:rsidR="00806C27">
        <w:rPr>
          <w:rFonts w:cs="Calibri"/>
        </w:rPr>
        <w:t>emphasis on reducing exhaust gas emissions</w:t>
      </w:r>
      <w:r w:rsidR="00D27196">
        <w:rPr>
          <w:rFonts w:cs="Calibri"/>
        </w:rPr>
        <w:t xml:space="preserve"> and a shift to electric vehicles,</w:t>
      </w:r>
      <w:r w:rsidR="00806C27">
        <w:rPr>
          <w:rFonts w:cs="Calibri"/>
        </w:rPr>
        <w:t xml:space="preserve"> tyre wear particulate </w:t>
      </w:r>
      <w:r w:rsidR="00D27196">
        <w:rPr>
          <w:rFonts w:cs="Calibri"/>
        </w:rPr>
        <w:t xml:space="preserve">will </w:t>
      </w:r>
      <w:r w:rsidR="00806C27">
        <w:rPr>
          <w:rFonts w:cs="Calibri"/>
        </w:rPr>
        <w:t>becom</w:t>
      </w:r>
      <w:r w:rsidR="00D27196">
        <w:rPr>
          <w:rFonts w:cs="Calibri"/>
        </w:rPr>
        <w:t>e</w:t>
      </w:r>
      <w:r w:rsidR="00806C27">
        <w:rPr>
          <w:rFonts w:cs="Calibri"/>
        </w:rPr>
        <w:t xml:space="preserve"> the greater </w:t>
      </w:r>
      <w:r w:rsidR="00D27196">
        <w:rPr>
          <w:rFonts w:cs="Calibri"/>
        </w:rPr>
        <w:t xml:space="preserve">share </w:t>
      </w:r>
      <w:r w:rsidR="00806C27">
        <w:rPr>
          <w:rFonts w:cs="Calibri"/>
        </w:rPr>
        <w:t xml:space="preserve">of particulate emissions from vehicles. </w:t>
      </w:r>
      <w:r w:rsidR="00806C27">
        <w:rPr>
          <w:rFonts w:cs="Calibri"/>
        </w:rPr>
        <w:lastRenderedPageBreak/>
        <w:t xml:space="preserve">Electric vehicles </w:t>
      </w:r>
      <w:r>
        <w:rPr>
          <w:rFonts w:cs="Calibri"/>
        </w:rPr>
        <w:t xml:space="preserve">have no </w:t>
      </w:r>
      <w:r w:rsidR="00806C27">
        <w:rPr>
          <w:rFonts w:cs="Calibri"/>
        </w:rPr>
        <w:t>exhaust emissions but continue to emit tyre particulate matter at the same rate as internal combustion engine vehicles</w:t>
      </w:r>
      <w:r w:rsidR="00806C27">
        <w:rPr>
          <w:rStyle w:val="FootnoteReference"/>
          <w:rFonts w:cs="Calibri"/>
        </w:rPr>
        <w:footnoteReference w:id="4"/>
      </w:r>
    </w:p>
    <w:p w14:paraId="1C2455D6" w14:textId="04F3D730" w:rsidR="00806C27" w:rsidRPr="002C26CC" w:rsidRDefault="00806C27" w:rsidP="00806C27">
      <w:pPr>
        <w:pStyle w:val="ListParagraph"/>
        <w:numPr>
          <w:ilvl w:val="0"/>
          <w:numId w:val="16"/>
        </w:numPr>
        <w:spacing w:before="120" w:after="120"/>
        <w:textAlignment w:val="center"/>
        <w:rPr>
          <w:rFonts w:cs="Calibri"/>
        </w:rPr>
      </w:pPr>
      <w:r w:rsidRPr="002C26CC">
        <w:rPr>
          <w:rFonts w:cs="Calibri"/>
        </w:rPr>
        <w:t>Road grip changes and dynamic stability – at significant under-inflation, tyres may exhibit decreased levels of grip. Tyres at</w:t>
      </w:r>
      <w:r w:rsidR="00DB3E2F">
        <w:rPr>
          <w:rFonts w:cs="Calibri"/>
        </w:rPr>
        <w:t xml:space="preserve"> </w:t>
      </w:r>
      <w:r w:rsidRPr="002C26CC">
        <w:rPr>
          <w:rFonts w:cs="Calibri"/>
        </w:rPr>
        <w:t>20</w:t>
      </w:r>
      <w:r w:rsidR="00B25C8D">
        <w:rPr>
          <w:rFonts w:cs="Calibri"/>
        </w:rPr>
        <w:t>%</w:t>
      </w:r>
      <w:r w:rsidRPr="002C26CC">
        <w:rPr>
          <w:rFonts w:cs="Calibri"/>
        </w:rPr>
        <w:t xml:space="preserve"> under-inflation are estimated to cause a 7.5</w:t>
      </w:r>
      <w:r w:rsidR="00B25C8D">
        <w:rPr>
          <w:rFonts w:cs="Calibri"/>
        </w:rPr>
        <w:t>%</w:t>
      </w:r>
      <w:r w:rsidRPr="002C26CC">
        <w:rPr>
          <w:rFonts w:cs="Calibri"/>
        </w:rPr>
        <w:t xml:space="preserve"> increase in wet weather stopping distance and contribute to between</w:t>
      </w:r>
      <w:r w:rsidR="00DA570C">
        <w:rPr>
          <w:rFonts w:cs="Calibri"/>
        </w:rPr>
        <w:t xml:space="preserve"> 0</w:t>
      </w:r>
      <w:r w:rsidRPr="002C26CC">
        <w:rPr>
          <w:rFonts w:cs="Calibri"/>
        </w:rPr>
        <w:t>.8</w:t>
      </w:r>
      <w:r w:rsidR="00B25C8D">
        <w:rPr>
          <w:rFonts w:cs="Calibri"/>
        </w:rPr>
        <w:t>%</w:t>
      </w:r>
      <w:r w:rsidRPr="002C26CC">
        <w:rPr>
          <w:rFonts w:cs="Calibri"/>
        </w:rPr>
        <w:t xml:space="preserve"> and 4</w:t>
      </w:r>
      <w:r w:rsidR="00B25C8D">
        <w:rPr>
          <w:rFonts w:cs="Calibri"/>
        </w:rPr>
        <w:t>%</w:t>
      </w:r>
      <w:r w:rsidRPr="002C26CC">
        <w:rPr>
          <w:rFonts w:cs="Calibri"/>
        </w:rPr>
        <w:t xml:space="preserve"> of accidents involving a loss of vehicle control</w:t>
      </w:r>
      <w:r w:rsidR="00C749BD">
        <w:rPr>
          <w:rFonts w:cs="Calibri"/>
        </w:rPr>
        <w:t xml:space="preserve"> (estimates from DG CLIMA TNO Study)</w:t>
      </w:r>
    </w:p>
    <w:p w14:paraId="7AA14D2E" w14:textId="1240BA7B" w:rsidR="00340D6C" w:rsidRPr="0036387A" w:rsidRDefault="00806C27" w:rsidP="0036387A">
      <w:pPr>
        <w:pStyle w:val="ListParagraph"/>
        <w:numPr>
          <w:ilvl w:val="0"/>
          <w:numId w:val="16"/>
        </w:numPr>
        <w:spacing w:before="120" w:after="120"/>
        <w:textAlignment w:val="center"/>
        <w:rPr>
          <w:rFonts w:asciiTheme="minorHAnsi" w:hAnsiTheme="minorHAnsi" w:cstheme="minorHAnsi"/>
        </w:rPr>
      </w:pPr>
      <w:r w:rsidRPr="002C26CC">
        <w:rPr>
          <w:rFonts w:cs="Calibri"/>
        </w:rPr>
        <w:t xml:space="preserve">Heat build-up and tyre structural damage – heat generated </w:t>
      </w:r>
      <w:r>
        <w:rPr>
          <w:rFonts w:cs="Calibri"/>
        </w:rPr>
        <w:t xml:space="preserve">by </w:t>
      </w:r>
      <w:r w:rsidRPr="002C26CC">
        <w:rPr>
          <w:rFonts w:cs="Calibri"/>
        </w:rPr>
        <w:t xml:space="preserve">excessive sidewall deformation can be a contributing factor </w:t>
      </w:r>
      <w:r w:rsidR="00DB3E2F">
        <w:rPr>
          <w:rFonts w:cs="Calibri"/>
        </w:rPr>
        <w:t>to</w:t>
      </w:r>
      <w:r w:rsidR="00DB3E2F" w:rsidRPr="002C26CC">
        <w:rPr>
          <w:rFonts w:cs="Calibri"/>
        </w:rPr>
        <w:t xml:space="preserve"> </w:t>
      </w:r>
      <w:r w:rsidRPr="002C26CC">
        <w:rPr>
          <w:rFonts w:cs="Calibri"/>
        </w:rPr>
        <w:t xml:space="preserve">premature wear and unexpected </w:t>
      </w:r>
      <w:r>
        <w:rPr>
          <w:rFonts w:cs="Calibri"/>
        </w:rPr>
        <w:t xml:space="preserve">tyre </w:t>
      </w:r>
      <w:r w:rsidRPr="002C26CC">
        <w:rPr>
          <w:rFonts w:cs="Calibri"/>
        </w:rPr>
        <w:t xml:space="preserve">failure (blowout). This kind of damage also reduces the viability of tyre carcases for re-treading and has been noted as a </w:t>
      </w:r>
      <w:r w:rsidR="00DB3E2F">
        <w:rPr>
          <w:rFonts w:cs="Calibri"/>
        </w:rPr>
        <w:t>causal</w:t>
      </w:r>
      <w:r w:rsidR="00DB3E2F" w:rsidRPr="002C26CC">
        <w:rPr>
          <w:rFonts w:cs="Calibri"/>
        </w:rPr>
        <w:t xml:space="preserve"> </w:t>
      </w:r>
      <w:r w:rsidRPr="002C26CC">
        <w:rPr>
          <w:rFonts w:cs="Calibri"/>
        </w:rPr>
        <w:t>factor in sudden tyre failure during maintenance activities. Sudden failures in close proximity to workers can be a source of serious injury and potential loss of life</w:t>
      </w:r>
      <w:r w:rsidR="00C749BD">
        <w:rPr>
          <w:rFonts w:cs="Calibri"/>
        </w:rPr>
        <w:t xml:space="preserve"> (DG CLIMA TNO Study)</w:t>
      </w:r>
    </w:p>
    <w:p w14:paraId="276E58D5" w14:textId="713ED839" w:rsidR="00BA7F01" w:rsidRPr="00407D7A" w:rsidRDefault="00BA7F01" w:rsidP="00A54FAE">
      <w:pPr>
        <w:pStyle w:val="Question"/>
      </w:pPr>
      <w:r w:rsidRPr="00362683">
        <w:rPr>
          <w:b/>
        </w:rPr>
        <w:t xml:space="preserve">Question 2: </w:t>
      </w:r>
      <w:r w:rsidRPr="00FA119F">
        <w:t xml:space="preserve">Has your organisation conducted any </w:t>
      </w:r>
      <w:r w:rsidRPr="00DF3DF0">
        <w:t xml:space="preserve">evaluation on the effectiveness of tyre pressure monitoring or </w:t>
      </w:r>
      <w:r w:rsidR="0034190D">
        <w:t>frequency of corrective measures</w:t>
      </w:r>
      <w:r w:rsidRPr="00F05E65">
        <w:t xml:space="preserve"> by drivers/operators</w:t>
      </w:r>
      <w:r>
        <w:t xml:space="preserve"> when alerted </w:t>
      </w:r>
      <w:r w:rsidR="0034190D">
        <w:t>to low pressures by TPMS</w:t>
      </w:r>
      <w:r w:rsidRPr="00F05E65">
        <w:t>?</w:t>
      </w:r>
    </w:p>
    <w:p w14:paraId="09CEBA3D" w14:textId="77777777" w:rsidR="0002091F" w:rsidRDefault="0002091F" w:rsidP="002C26CC">
      <w:pPr>
        <w:pStyle w:val="BoxTitle"/>
      </w:pPr>
      <w:r>
        <w:t>Why regulate?</w:t>
      </w:r>
    </w:p>
    <w:p w14:paraId="68C317DF" w14:textId="18AB104A" w:rsidR="00F849D4" w:rsidRPr="0006163F" w:rsidRDefault="005F6EE3" w:rsidP="00974FCE">
      <w:pPr>
        <w:rPr>
          <w:rFonts w:cs="Calibri"/>
        </w:rPr>
      </w:pPr>
      <w:r>
        <w:t xml:space="preserve">Introducing a </w:t>
      </w:r>
      <w:r w:rsidR="00193D76">
        <w:t>TPMS</w:t>
      </w:r>
      <w:r>
        <w:t xml:space="preserve"> standard into regulation would be compl</w:t>
      </w:r>
      <w:r w:rsidR="00652BF3">
        <w:t>e</w:t>
      </w:r>
      <w:r>
        <w:t>mentary to policies that aim</w:t>
      </w:r>
      <w:r w:rsidRPr="00C54F6C">
        <w:t xml:space="preserve"> to reduce emissions, increase productivity and </w:t>
      </w:r>
      <w:r>
        <w:t xml:space="preserve">improve </w:t>
      </w:r>
      <w:r w:rsidRPr="00C54F6C">
        <w:t>road safety. Technology that actively monitors tyre inflation could contribute substantially to</w:t>
      </w:r>
      <w:r>
        <w:t xml:space="preserve"> energy and</w:t>
      </w:r>
      <w:r w:rsidRPr="00C54F6C">
        <w:t xml:space="preserve"> fuel </w:t>
      </w:r>
      <w:r>
        <w:t xml:space="preserve">usage savings, </w:t>
      </w:r>
      <w:r w:rsidRPr="00C54F6C">
        <w:t xml:space="preserve">and </w:t>
      </w:r>
      <w:r>
        <w:t xml:space="preserve">the reduction of </w:t>
      </w:r>
      <w:r w:rsidRPr="00C54F6C">
        <w:t>greenhouse gas emissions</w:t>
      </w:r>
      <w:r>
        <w:t>,</w:t>
      </w:r>
      <w:r w:rsidRPr="00C54F6C">
        <w:t xml:space="preserve"> as well as reducing tyre wear</w:t>
      </w:r>
      <w:r>
        <w:t xml:space="preserve">, particulate emissions </w:t>
      </w:r>
      <w:r w:rsidRPr="00C54F6C">
        <w:t>and</w:t>
      </w:r>
      <w:r>
        <w:t xml:space="preserve"> providing </w:t>
      </w:r>
      <w:r w:rsidRPr="00C54F6C">
        <w:t>improvements to safety and accident prevention.</w:t>
      </w:r>
      <w:r w:rsidR="00A54FAE">
        <w:t xml:space="preserve"> </w:t>
      </w:r>
      <w:r w:rsidR="00193D76">
        <w:rPr>
          <w:rFonts w:cs="Calibri"/>
        </w:rPr>
        <w:t>Alerting</w:t>
      </w:r>
      <w:r w:rsidR="00F849D4">
        <w:rPr>
          <w:rFonts w:cs="Calibri"/>
        </w:rPr>
        <w:t xml:space="preserve"> drivers to rectify under inflated tyres</w:t>
      </w:r>
      <w:r w:rsidR="00193D76">
        <w:rPr>
          <w:rFonts w:cs="Calibri"/>
        </w:rPr>
        <w:t xml:space="preserve"> could yield </w:t>
      </w:r>
      <w:r w:rsidR="00974FCE">
        <w:rPr>
          <w:rFonts w:cs="Calibri"/>
        </w:rPr>
        <w:t xml:space="preserve">substantial </w:t>
      </w:r>
      <w:r w:rsidR="00F849D4">
        <w:rPr>
          <w:rFonts w:cs="Calibri"/>
        </w:rPr>
        <w:t>benefits</w:t>
      </w:r>
      <w:r w:rsidR="00974FCE">
        <w:rPr>
          <w:rFonts w:cs="Calibri"/>
        </w:rPr>
        <w:t xml:space="preserve">. </w:t>
      </w:r>
      <w:r w:rsidR="00660C2D" w:rsidRPr="00660C2D">
        <w:rPr>
          <w:rFonts w:cs="Calibri"/>
        </w:rPr>
        <w:t xml:space="preserve">The following estimates are based on available vehicle statistics from both the Bureau of Infrastructure and Transport Research Economics </w:t>
      </w:r>
      <w:r w:rsidR="00FE2624">
        <w:rPr>
          <w:rFonts w:cs="Calibri"/>
        </w:rPr>
        <w:t>(BITRE)</w:t>
      </w:r>
      <w:r w:rsidR="00FE2624">
        <w:rPr>
          <w:rStyle w:val="FootnoteReference"/>
          <w:rFonts w:cs="Calibri"/>
        </w:rPr>
        <w:footnoteReference w:id="5"/>
      </w:r>
      <w:r w:rsidR="00FE2624">
        <w:rPr>
          <w:rFonts w:cs="Calibri"/>
        </w:rPr>
        <w:t xml:space="preserve"> </w:t>
      </w:r>
      <w:r w:rsidR="00660C2D" w:rsidRPr="00660C2D">
        <w:rPr>
          <w:rFonts w:cs="Calibri"/>
        </w:rPr>
        <w:t>and the Australian Bureau of Statistics</w:t>
      </w:r>
      <w:r w:rsidR="00FE2624">
        <w:rPr>
          <w:rFonts w:cs="Calibri"/>
        </w:rPr>
        <w:t xml:space="preserve"> (ABS)</w:t>
      </w:r>
      <w:r w:rsidR="00260139">
        <w:rPr>
          <w:rStyle w:val="FootnoteReference"/>
          <w:rFonts w:cs="Calibri"/>
        </w:rPr>
        <w:footnoteReference w:id="6"/>
      </w:r>
    </w:p>
    <w:p w14:paraId="4872E102" w14:textId="15FB517C" w:rsidR="00974FCE" w:rsidRPr="006B7AE4" w:rsidRDefault="00F849D4" w:rsidP="1E10B447">
      <w:pPr>
        <w:pStyle w:val="ListParagraph"/>
        <w:keepNext/>
        <w:numPr>
          <w:ilvl w:val="0"/>
          <w:numId w:val="6"/>
        </w:numPr>
        <w:spacing w:before="120" w:after="120"/>
        <w:ind w:left="357" w:hanging="357"/>
        <w:textAlignment w:val="center"/>
      </w:pPr>
      <w:r w:rsidRPr="002C26CC">
        <w:rPr>
          <w:rFonts w:cs="Calibri"/>
          <w:u w:val="single"/>
        </w:rPr>
        <w:t>Fuel savings for whole of Australia’s vehicle fleet with TPMS fitment</w:t>
      </w:r>
      <w:r w:rsidRPr="002C26CC">
        <w:rPr>
          <w:rFonts w:cs="Calibri"/>
        </w:rPr>
        <w:t xml:space="preserve">: </w:t>
      </w:r>
      <w:r>
        <w:t>At a nominal fuel cost of $2 per litre, this equates to savings of $85-</w:t>
      </w:r>
      <w:r w:rsidRPr="00F97760">
        <w:t>17</w:t>
      </w:r>
      <w:r>
        <w:t xml:space="preserve">1 million per year. See </w:t>
      </w:r>
      <w:r w:rsidRPr="00652BF3">
        <w:rPr>
          <w:b/>
          <w:bCs/>
        </w:rPr>
        <w:t>Appendix A</w:t>
      </w:r>
      <w:r>
        <w:t xml:space="preserve">, Figure 1 for </w:t>
      </w:r>
      <w:r w:rsidR="00974FCE">
        <w:t xml:space="preserve">detailed </w:t>
      </w:r>
      <w:r>
        <w:t>fuel figures.</w:t>
      </w:r>
      <w:r w:rsidR="00974FCE" w:rsidRPr="1E10B447">
        <w:t xml:space="preserve"> </w:t>
      </w:r>
      <w:r>
        <w:t>Energy savings for electric powered vehicles have not been estimated here. There is likely to be a fleet wide energy consumption saving</w:t>
      </w:r>
      <w:r w:rsidR="1C246D21" w:rsidRPr="1E10B447">
        <w:t>,</w:t>
      </w:r>
      <w:r>
        <w:t xml:space="preserve"> that when accumulated</w:t>
      </w:r>
      <w:r w:rsidR="1E10B447">
        <w:t>,</w:t>
      </w:r>
      <w:r>
        <w:t xml:space="preserve"> delivers overall benefits to electrical grid consumption. </w:t>
      </w:r>
    </w:p>
    <w:p w14:paraId="5ADBA55E" w14:textId="62BB7317" w:rsidR="00F849D4" w:rsidRPr="00974FCE" w:rsidRDefault="00F849D4" w:rsidP="0083590E">
      <w:pPr>
        <w:pStyle w:val="ListParagraph"/>
        <w:keepNext/>
        <w:numPr>
          <w:ilvl w:val="0"/>
          <w:numId w:val="6"/>
        </w:numPr>
        <w:spacing w:before="120" w:after="120"/>
        <w:ind w:left="357" w:hanging="357"/>
        <w:textAlignment w:val="center"/>
        <w:rPr>
          <w:rFonts w:cs="Calibri"/>
        </w:rPr>
      </w:pPr>
      <w:r w:rsidRPr="00974FCE">
        <w:rPr>
          <w:rFonts w:cs="Calibri"/>
          <w:u w:val="single"/>
        </w:rPr>
        <w:t>Reduced CO2 emissions</w:t>
      </w:r>
      <w:r w:rsidR="002D2284" w:rsidRPr="00974FCE">
        <w:rPr>
          <w:rFonts w:cs="Calibri"/>
          <w:u w:val="single"/>
        </w:rPr>
        <w:t>.</w:t>
      </w:r>
      <w:r w:rsidR="002D2284" w:rsidRPr="00974FCE">
        <w:rPr>
          <w:rFonts w:cs="Calibri"/>
        </w:rPr>
        <w:t xml:space="preserve"> </w:t>
      </w:r>
      <w:r w:rsidRPr="00974FCE">
        <w:rPr>
          <w:rFonts w:cs="Calibri"/>
        </w:rPr>
        <w:t>If the whole of Australia’s vehicle fleet had TPMS</w:t>
      </w:r>
      <w:r w:rsidR="00F145FC" w:rsidRPr="00974FCE">
        <w:rPr>
          <w:rFonts w:cs="Calibri"/>
        </w:rPr>
        <w:t xml:space="preserve"> up to </w:t>
      </w:r>
      <w:r w:rsidRPr="00974FCE">
        <w:rPr>
          <w:rFonts w:cs="Calibri"/>
        </w:rPr>
        <w:t xml:space="preserve">206,762 tonnes per year (2019 emissions values). </w:t>
      </w:r>
      <w:r w:rsidR="00974FCE">
        <w:rPr>
          <w:rFonts w:cs="Calibri"/>
        </w:rPr>
        <w:t xml:space="preserve"> </w:t>
      </w:r>
      <w:r w:rsidRPr="00974FCE">
        <w:rPr>
          <w:rFonts w:cs="Calibri"/>
        </w:rPr>
        <w:t xml:space="preserve">See </w:t>
      </w:r>
      <w:r w:rsidRPr="00974FCE">
        <w:rPr>
          <w:rFonts w:cs="Calibri"/>
          <w:b/>
        </w:rPr>
        <w:t>Appendix A</w:t>
      </w:r>
      <w:r w:rsidRPr="00974FCE">
        <w:rPr>
          <w:rFonts w:cs="Calibri"/>
        </w:rPr>
        <w:t>, Figure 2 for potential CO</w:t>
      </w:r>
      <w:r w:rsidRPr="00974FCE">
        <w:rPr>
          <w:rFonts w:cs="Calibri"/>
          <w:vertAlign w:val="subscript"/>
        </w:rPr>
        <w:t>2</w:t>
      </w:r>
      <w:r w:rsidRPr="00974FCE">
        <w:rPr>
          <w:rFonts w:cs="Calibri"/>
        </w:rPr>
        <w:t xml:space="preserve"> savings for each vehicle type</w:t>
      </w:r>
    </w:p>
    <w:p w14:paraId="33CB683C" w14:textId="43BE7326" w:rsidR="00F849D4" w:rsidRPr="00974FCE" w:rsidRDefault="00974FCE" w:rsidP="0083590E">
      <w:pPr>
        <w:pStyle w:val="ListParagraph"/>
        <w:keepNext/>
        <w:numPr>
          <w:ilvl w:val="0"/>
          <w:numId w:val="6"/>
        </w:numPr>
        <w:spacing w:before="120" w:after="120"/>
        <w:textAlignment w:val="center"/>
        <w:rPr>
          <w:rFonts w:cs="Calibri"/>
        </w:rPr>
      </w:pPr>
      <w:r w:rsidRPr="00974FCE">
        <w:rPr>
          <w:rFonts w:cs="Calibri"/>
          <w:u w:val="single"/>
        </w:rPr>
        <w:t>Societal h</w:t>
      </w:r>
      <w:r w:rsidR="00F849D4" w:rsidRPr="00974FCE">
        <w:rPr>
          <w:rFonts w:cs="Calibri"/>
          <w:u w:val="single"/>
        </w:rPr>
        <w:t>ealth benefits</w:t>
      </w:r>
      <w:r w:rsidR="00DD2831">
        <w:rPr>
          <w:rFonts w:cs="Calibri"/>
          <w:u w:val="single"/>
        </w:rPr>
        <w:t>.</w:t>
      </w:r>
      <w:r w:rsidR="00DD2831" w:rsidRPr="001F5B29">
        <w:rPr>
          <w:rFonts w:cs="Calibri"/>
        </w:rPr>
        <w:t xml:space="preserve"> </w:t>
      </w:r>
      <w:r w:rsidR="00F849D4" w:rsidRPr="00974FCE">
        <w:rPr>
          <w:rFonts w:cs="Calibri"/>
        </w:rPr>
        <w:t>The health benefits from the associated reduction in emissions are in the order of $1.4 million, or 6.2 life years saved per annum on average between metro and non-metro locations for carbon emissions alone. Health benefits from reduced particulate matter from tyre wear have not yet been calculated</w:t>
      </w:r>
      <w:r w:rsidR="00043A98">
        <w:rPr>
          <w:rFonts w:cs="Calibri"/>
        </w:rPr>
        <w:t xml:space="preserve"> but the</w:t>
      </w:r>
      <w:r w:rsidR="00F849D4" w:rsidRPr="00974FCE">
        <w:rPr>
          <w:rFonts w:cs="Calibri"/>
        </w:rPr>
        <w:t xml:space="preserve"> unit cost of health effects due to non-</w:t>
      </w:r>
      <w:r w:rsidR="00F849D4" w:rsidRPr="00974FCE">
        <w:rPr>
          <w:rFonts w:cs="Calibri"/>
        </w:rPr>
        <w:lastRenderedPageBreak/>
        <w:t xml:space="preserve">exhaust </w:t>
      </w:r>
      <w:r w:rsidR="00043A98">
        <w:rPr>
          <w:rFonts w:cs="Calibri"/>
        </w:rPr>
        <w:t xml:space="preserve">and particulate </w:t>
      </w:r>
      <w:r w:rsidR="00F849D4" w:rsidRPr="00974FCE">
        <w:rPr>
          <w:rFonts w:cs="Calibri"/>
        </w:rPr>
        <w:t>emissions is approximately 1000 times that of CO</w:t>
      </w:r>
      <w:r w:rsidR="00F849D4" w:rsidRPr="00974FCE">
        <w:rPr>
          <w:rFonts w:cs="Calibri"/>
          <w:vertAlign w:val="subscript"/>
        </w:rPr>
        <w:t>2</w:t>
      </w:r>
      <w:r w:rsidR="00F849D4" w:rsidRPr="00974FCE">
        <w:rPr>
          <w:rFonts w:cs="Calibri"/>
        </w:rPr>
        <w:t xml:space="preserve"> </w:t>
      </w:r>
      <w:r w:rsidR="00043A98">
        <w:rPr>
          <w:rFonts w:cs="Calibri"/>
        </w:rPr>
        <w:t xml:space="preserve">, </w:t>
      </w:r>
      <w:r w:rsidR="00F849D4" w:rsidRPr="00974FCE">
        <w:rPr>
          <w:rFonts w:cs="Calibri"/>
        </w:rPr>
        <w:t xml:space="preserve">and therefore </w:t>
      </w:r>
      <w:r w:rsidR="5DA2E7BD" w:rsidRPr="00974FCE">
        <w:rPr>
          <w:rFonts w:cs="Calibri"/>
        </w:rPr>
        <w:t>wi</w:t>
      </w:r>
      <w:r w:rsidR="6C5F3CBD" w:rsidRPr="00974FCE">
        <w:rPr>
          <w:rFonts w:cs="Calibri"/>
        </w:rPr>
        <w:t xml:space="preserve">ll </w:t>
      </w:r>
      <w:r w:rsidR="00F849D4" w:rsidRPr="00974FCE">
        <w:rPr>
          <w:rFonts w:cs="Calibri"/>
        </w:rPr>
        <w:t>be significant.</w:t>
      </w:r>
    </w:p>
    <w:p w14:paraId="04E9EC3C" w14:textId="322733C8" w:rsidR="005F6EE3" w:rsidRDefault="00F849D4" w:rsidP="001F5B29">
      <w:pPr>
        <w:pStyle w:val="ListParagraph"/>
        <w:keepNext/>
        <w:numPr>
          <w:ilvl w:val="0"/>
          <w:numId w:val="6"/>
        </w:numPr>
        <w:spacing w:before="120" w:after="120"/>
        <w:ind w:left="357" w:hanging="357"/>
        <w:textAlignment w:val="center"/>
      </w:pPr>
      <w:r w:rsidRPr="002C26CC">
        <w:rPr>
          <w:rFonts w:cs="Calibri"/>
          <w:u w:val="single"/>
        </w:rPr>
        <w:t>Extended tyre life</w:t>
      </w:r>
      <w:r w:rsidR="00043A98">
        <w:rPr>
          <w:rFonts w:cs="Calibri"/>
          <w:u w:val="single"/>
        </w:rPr>
        <w:t>.</w:t>
      </w:r>
      <w:r w:rsidR="00043A98" w:rsidRPr="001F5B29">
        <w:rPr>
          <w:rFonts w:cs="Calibri"/>
        </w:rPr>
        <w:t xml:space="preserve"> </w:t>
      </w:r>
      <w:r w:rsidRPr="001F5B29">
        <w:rPr>
          <w:rFonts w:cs="Calibri"/>
        </w:rPr>
        <w:t>Reduced tyre wear due to 100</w:t>
      </w:r>
      <w:r w:rsidR="00B25C8D" w:rsidRPr="001F5B29">
        <w:rPr>
          <w:rFonts w:cs="Calibri"/>
        </w:rPr>
        <w:t>%</w:t>
      </w:r>
      <w:r w:rsidRPr="001F5B29">
        <w:rPr>
          <w:rFonts w:cs="Calibri"/>
        </w:rPr>
        <w:t xml:space="preserve"> TPMS use and operator response can add an estimated extra service life of 103.22km per 1000km travelled for each tyre and a running cost saving of $0.17 for each tyre per 1000km travelled. See </w:t>
      </w:r>
      <w:r w:rsidRPr="001F5B29">
        <w:rPr>
          <w:rFonts w:cs="Calibri"/>
          <w:b/>
        </w:rPr>
        <w:t>Appendix A</w:t>
      </w:r>
      <w:r w:rsidRPr="001F5B29">
        <w:rPr>
          <w:rFonts w:cs="Calibri"/>
        </w:rPr>
        <w:t>, Figure 3 for tyre service life and operating costs figures.</w:t>
      </w:r>
    </w:p>
    <w:p w14:paraId="61B2C1AA" w14:textId="33C6A91F" w:rsidR="002C26CC" w:rsidRPr="001F5B29" w:rsidRDefault="00465222" w:rsidP="001F5B29">
      <w:pPr>
        <w:pStyle w:val="ListParagraph"/>
        <w:keepNext/>
        <w:numPr>
          <w:ilvl w:val="0"/>
          <w:numId w:val="6"/>
        </w:numPr>
        <w:spacing w:before="120" w:after="120"/>
        <w:ind w:left="357" w:hanging="357"/>
        <w:textAlignment w:val="center"/>
        <w:rPr>
          <w:rFonts w:cs="Calibri"/>
        </w:rPr>
      </w:pPr>
      <w:r w:rsidRPr="001F5B29">
        <w:rPr>
          <w:rFonts w:cs="Calibri"/>
          <w:u w:val="single"/>
        </w:rPr>
        <w:t>Safety benefits</w:t>
      </w:r>
      <w:r w:rsidR="00043A98" w:rsidRPr="001F5B29">
        <w:rPr>
          <w:rFonts w:cs="Calibri"/>
          <w:u w:val="single"/>
        </w:rPr>
        <w:t>.</w:t>
      </w:r>
      <w:r w:rsidR="00043A98" w:rsidRPr="001F5B29">
        <w:rPr>
          <w:rFonts w:cs="Calibri"/>
        </w:rPr>
        <w:t xml:space="preserve"> </w:t>
      </w:r>
      <w:r w:rsidRPr="001F5B29">
        <w:rPr>
          <w:rFonts w:cs="Calibri"/>
        </w:rPr>
        <w:t>Avoiding the effects of reductions in vertical, lateral and longitudinal stiffness of tyres due to under-inflation could have positive results for road safety. Simulations on light commercial vehicles suggest that a tyre fleet with no under-inflation and wear patterns consistent with correct inflation will decrease accident rates by between 0.8</w:t>
      </w:r>
      <w:r w:rsidR="00B25C8D" w:rsidRPr="001F5B29">
        <w:rPr>
          <w:rFonts w:cs="Calibri"/>
        </w:rPr>
        <w:t>%</w:t>
      </w:r>
      <w:r w:rsidRPr="001F5B29">
        <w:rPr>
          <w:rFonts w:cs="Calibri"/>
        </w:rPr>
        <w:t xml:space="preserve"> and 4</w:t>
      </w:r>
      <w:r w:rsidR="00B25C8D" w:rsidRPr="001F5B29">
        <w:rPr>
          <w:rFonts w:cs="Calibri"/>
        </w:rPr>
        <w:t>%</w:t>
      </w:r>
      <w:r w:rsidRPr="001F5B29">
        <w:rPr>
          <w:rFonts w:cs="Calibri"/>
        </w:rPr>
        <w:t>. This figure includes accidents due to blow-outs causing loss of control</w:t>
      </w:r>
      <w:r w:rsidR="00F145FC" w:rsidRPr="001F5B29">
        <w:rPr>
          <w:rFonts w:cs="Calibri"/>
        </w:rPr>
        <w:t xml:space="preserve"> (DG CLIMA TNO)</w:t>
      </w:r>
      <w:r w:rsidRPr="001F5B29">
        <w:rPr>
          <w:rFonts w:cs="Calibri"/>
        </w:rPr>
        <w:t>.</w:t>
      </w:r>
      <w:r w:rsidR="00043A98">
        <w:rPr>
          <w:rFonts w:cs="Calibri"/>
        </w:rPr>
        <w:t xml:space="preserve"> </w:t>
      </w:r>
      <w:r w:rsidRPr="001F5B29">
        <w:rPr>
          <w:rFonts w:cs="Calibri"/>
        </w:rPr>
        <w:t>Sever under-inflation (20</w:t>
      </w:r>
      <w:r w:rsidR="00B25C8D" w:rsidRPr="001F5B29">
        <w:rPr>
          <w:rFonts w:cs="Calibri"/>
        </w:rPr>
        <w:t>%</w:t>
      </w:r>
      <w:r w:rsidRPr="001F5B29">
        <w:rPr>
          <w:rFonts w:cs="Calibri"/>
        </w:rPr>
        <w:t xml:space="preserve"> or more) may increase a vehicle’s propensity to roll in an accident, significantly reduce dynamic stability and greatly increase catastrophic failure or blow-out. </w:t>
      </w:r>
      <w:r w:rsidR="00F145FC" w:rsidRPr="001F5B29">
        <w:rPr>
          <w:rFonts w:cs="Calibri"/>
        </w:rPr>
        <w:t>The UNECE TPMS</w:t>
      </w:r>
      <w:r w:rsidRPr="001F5B29">
        <w:rPr>
          <w:rFonts w:cs="Calibri"/>
        </w:rPr>
        <w:t xml:space="preserve"> </w:t>
      </w:r>
      <w:r w:rsidR="00F145FC" w:rsidRPr="001F5B29">
        <w:rPr>
          <w:rFonts w:cs="Calibri"/>
        </w:rPr>
        <w:t>F</w:t>
      </w:r>
      <w:r w:rsidRPr="001F5B29">
        <w:rPr>
          <w:rFonts w:cs="Calibri"/>
        </w:rPr>
        <w:t xml:space="preserve">ield </w:t>
      </w:r>
      <w:r w:rsidR="00F145FC" w:rsidRPr="001F5B29">
        <w:rPr>
          <w:rFonts w:cs="Calibri"/>
        </w:rPr>
        <w:t>S</w:t>
      </w:r>
      <w:r w:rsidRPr="001F5B29">
        <w:rPr>
          <w:rFonts w:cs="Calibri"/>
        </w:rPr>
        <w:t>tudy suggested that TPMS reduced the incidence of greater than -20</w:t>
      </w:r>
      <w:r w:rsidR="00B25C8D" w:rsidRPr="001F5B29">
        <w:rPr>
          <w:rFonts w:cs="Calibri"/>
        </w:rPr>
        <w:t>%</w:t>
      </w:r>
      <w:r w:rsidRPr="001F5B29">
        <w:rPr>
          <w:rFonts w:cs="Calibri"/>
        </w:rPr>
        <w:t xml:space="preserve"> under-inflation by approximately 75</w:t>
      </w:r>
      <w:r w:rsidR="00B25C8D" w:rsidRPr="001F5B29">
        <w:rPr>
          <w:rFonts w:cs="Calibri"/>
        </w:rPr>
        <w:t>%</w:t>
      </w:r>
      <w:r w:rsidRPr="001F5B29">
        <w:rPr>
          <w:rFonts w:cs="Calibri"/>
        </w:rPr>
        <w:t xml:space="preserve"> in practical terms. </w:t>
      </w:r>
    </w:p>
    <w:p w14:paraId="21BC6F7A" w14:textId="77777777" w:rsidR="0011090E" w:rsidRPr="0011090E" w:rsidRDefault="0011090E" w:rsidP="0011090E">
      <w:pPr>
        <w:spacing w:before="120" w:after="120" w:line="240" w:lineRule="auto"/>
        <w:textAlignment w:val="center"/>
        <w:rPr>
          <w:rFonts w:cs="Calibri"/>
        </w:rPr>
      </w:pPr>
    </w:p>
    <w:p w14:paraId="550D5131" w14:textId="77777777" w:rsidR="00465222" w:rsidRPr="00411AA5" w:rsidRDefault="008A5A1C" w:rsidP="0011090E">
      <w:pPr>
        <w:pStyle w:val="BoxTitle"/>
      </w:pPr>
      <w:r w:rsidRPr="00411AA5">
        <w:t xml:space="preserve">Summary of economic </w:t>
      </w:r>
      <w:r w:rsidR="00465222" w:rsidRPr="00411AA5">
        <w:t>benefits</w:t>
      </w:r>
      <w:r w:rsidR="002C26CC" w:rsidRPr="00411AA5">
        <w:t xml:space="preserve"> and </w:t>
      </w:r>
      <w:r w:rsidR="00465222" w:rsidRPr="00411AA5">
        <w:t xml:space="preserve">safety </w:t>
      </w:r>
      <w:r w:rsidRPr="00411AA5">
        <w:t>e</w:t>
      </w:r>
      <w:r w:rsidR="00465222" w:rsidRPr="00411AA5">
        <w:t>ffects</w:t>
      </w:r>
    </w:p>
    <w:p w14:paraId="7AF0B5A4" w14:textId="77777777" w:rsidR="00465222" w:rsidRPr="009735A0" w:rsidRDefault="00465222" w:rsidP="00465222">
      <w:pPr>
        <w:spacing w:before="120" w:after="120" w:line="240" w:lineRule="auto"/>
        <w:textAlignment w:val="center"/>
        <w:rPr>
          <w:rFonts w:cs="Calibri"/>
        </w:rPr>
      </w:pPr>
      <w:r>
        <w:rPr>
          <w:rFonts w:cs="Calibri"/>
        </w:rPr>
        <w:t>TPMS can lead to reductions in operation and societal costs.</w:t>
      </w:r>
    </w:p>
    <w:p w14:paraId="7F75438B" w14:textId="5694D64E" w:rsidR="00465222" w:rsidRPr="002C26CC" w:rsidRDefault="00465222" w:rsidP="002C26CC">
      <w:pPr>
        <w:pStyle w:val="ListParagraph"/>
        <w:numPr>
          <w:ilvl w:val="0"/>
          <w:numId w:val="12"/>
        </w:numPr>
        <w:spacing w:before="120" w:after="120" w:line="192" w:lineRule="auto"/>
        <w:textAlignment w:val="center"/>
        <w:rPr>
          <w:rFonts w:cs="Calibri"/>
        </w:rPr>
      </w:pPr>
      <w:r w:rsidRPr="002C26CC">
        <w:rPr>
          <w:rFonts w:cs="Calibri"/>
        </w:rPr>
        <w:t>Fuel cost savings due to optimal rolling resistance</w:t>
      </w:r>
      <w:r w:rsidR="008A5A1C" w:rsidRPr="002C26CC">
        <w:rPr>
          <w:rFonts w:cs="Calibri"/>
        </w:rPr>
        <w:t>/tyre contact</w:t>
      </w:r>
      <w:r w:rsidRPr="002C26CC">
        <w:rPr>
          <w:rFonts w:cs="Calibri"/>
        </w:rPr>
        <w:t xml:space="preserve">. See fuel savings at </w:t>
      </w:r>
      <w:r w:rsidR="0039136B" w:rsidRPr="002C26CC">
        <w:rPr>
          <w:rFonts w:cs="Calibri"/>
          <w:b/>
        </w:rPr>
        <w:t>Appendix</w:t>
      </w:r>
      <w:r w:rsidR="0039136B">
        <w:rPr>
          <w:rFonts w:cs="Calibri"/>
          <w:b/>
        </w:rPr>
        <w:t> </w:t>
      </w:r>
      <w:r w:rsidRPr="002C26CC">
        <w:rPr>
          <w:rFonts w:cs="Calibri"/>
          <w:b/>
        </w:rPr>
        <w:t>A</w:t>
      </w:r>
      <w:r w:rsidRPr="002C26CC">
        <w:rPr>
          <w:rFonts w:cs="Calibri"/>
        </w:rPr>
        <w:t xml:space="preserve">, figure 1. </w:t>
      </w:r>
    </w:p>
    <w:p w14:paraId="50AD2C26" w14:textId="77777777" w:rsidR="00465222" w:rsidRPr="002C26CC" w:rsidRDefault="00465222" w:rsidP="002C26CC">
      <w:pPr>
        <w:pStyle w:val="ListParagraph"/>
        <w:numPr>
          <w:ilvl w:val="0"/>
          <w:numId w:val="12"/>
        </w:numPr>
        <w:spacing w:before="120" w:after="120" w:line="192" w:lineRule="auto"/>
        <w:textAlignment w:val="center"/>
        <w:rPr>
          <w:rFonts w:cs="Calibri"/>
        </w:rPr>
      </w:pPr>
      <w:r w:rsidRPr="002C26CC">
        <w:rPr>
          <w:rFonts w:cs="Calibri"/>
        </w:rPr>
        <w:t xml:space="preserve">Reduced tyre maintenance costs and extended lifetime of tyres. See </w:t>
      </w:r>
      <w:r w:rsidRPr="002C26CC">
        <w:rPr>
          <w:rFonts w:cs="Calibri"/>
          <w:b/>
        </w:rPr>
        <w:t>Appendix A</w:t>
      </w:r>
      <w:r w:rsidRPr="002C26CC">
        <w:rPr>
          <w:rFonts w:cs="Calibri"/>
        </w:rPr>
        <w:t>, figure 3</w:t>
      </w:r>
    </w:p>
    <w:p w14:paraId="1E838300" w14:textId="77777777" w:rsidR="00465222" w:rsidRPr="002C26CC" w:rsidRDefault="008A5A1C" w:rsidP="002C26CC">
      <w:pPr>
        <w:pStyle w:val="ListParagraph"/>
        <w:numPr>
          <w:ilvl w:val="0"/>
          <w:numId w:val="12"/>
        </w:numPr>
        <w:spacing w:before="120" w:after="120" w:line="192" w:lineRule="auto"/>
        <w:textAlignment w:val="center"/>
        <w:rPr>
          <w:rFonts w:cs="Calibri"/>
        </w:rPr>
      </w:pPr>
      <w:r w:rsidRPr="002C26CC">
        <w:rPr>
          <w:rFonts w:cs="Calibri"/>
        </w:rPr>
        <w:t xml:space="preserve">Fewer </w:t>
      </w:r>
      <w:r w:rsidR="00465222" w:rsidRPr="002C26CC">
        <w:rPr>
          <w:rFonts w:cs="Calibri"/>
        </w:rPr>
        <w:t xml:space="preserve">service disruptions due to </w:t>
      </w:r>
      <w:r w:rsidRPr="002C26CC">
        <w:rPr>
          <w:rFonts w:cs="Calibri"/>
        </w:rPr>
        <w:t xml:space="preserve">reduced </w:t>
      </w:r>
      <w:r w:rsidR="00465222" w:rsidRPr="002C26CC">
        <w:rPr>
          <w:rFonts w:cs="Calibri"/>
        </w:rPr>
        <w:t>tyre related breakdowns.</w:t>
      </w:r>
    </w:p>
    <w:p w14:paraId="36455EA2" w14:textId="77777777" w:rsidR="00465222" w:rsidRPr="002C26CC" w:rsidRDefault="00465222" w:rsidP="002C26CC">
      <w:pPr>
        <w:pStyle w:val="ListParagraph"/>
        <w:numPr>
          <w:ilvl w:val="0"/>
          <w:numId w:val="12"/>
        </w:numPr>
        <w:spacing w:before="120" w:after="120" w:line="192" w:lineRule="auto"/>
        <w:textAlignment w:val="center"/>
        <w:rPr>
          <w:rFonts w:cs="Calibri"/>
        </w:rPr>
      </w:pPr>
      <w:r w:rsidRPr="002C26CC">
        <w:rPr>
          <w:rFonts w:cs="Calibri"/>
        </w:rPr>
        <w:t>Reduced societal cost by reducing accidents (fatalities, injuries and effects of accidents).</w:t>
      </w:r>
    </w:p>
    <w:p w14:paraId="1E4C3935" w14:textId="77777777" w:rsidR="00465222" w:rsidRPr="002C26CC" w:rsidRDefault="00465222" w:rsidP="002C26CC">
      <w:pPr>
        <w:pStyle w:val="ListParagraph"/>
        <w:numPr>
          <w:ilvl w:val="0"/>
          <w:numId w:val="12"/>
        </w:numPr>
        <w:spacing w:before="120" w:after="120" w:line="192" w:lineRule="auto"/>
        <w:textAlignment w:val="center"/>
        <w:rPr>
          <w:rFonts w:cs="Calibri"/>
        </w:rPr>
      </w:pPr>
      <w:r w:rsidRPr="002C26CC">
        <w:rPr>
          <w:rFonts w:cs="Calibri"/>
        </w:rPr>
        <w:t xml:space="preserve">Reduced costs due to </w:t>
      </w:r>
      <w:r w:rsidR="0011090E">
        <w:rPr>
          <w:rFonts w:cs="Calibri"/>
        </w:rPr>
        <w:t>CO</w:t>
      </w:r>
      <w:r w:rsidR="0011090E" w:rsidRPr="0011090E">
        <w:rPr>
          <w:rFonts w:cs="Calibri"/>
          <w:vertAlign w:val="superscript"/>
        </w:rPr>
        <w:t>2</w:t>
      </w:r>
      <w:r w:rsidR="0011090E">
        <w:rPr>
          <w:rFonts w:cs="Calibri"/>
        </w:rPr>
        <w:t xml:space="preserve"> and particulate </w:t>
      </w:r>
      <w:r w:rsidRPr="002C26CC">
        <w:rPr>
          <w:rFonts w:cs="Calibri"/>
        </w:rPr>
        <w:t>emissions.</w:t>
      </w:r>
    </w:p>
    <w:p w14:paraId="6D3B5D40" w14:textId="77777777" w:rsidR="00465222" w:rsidRDefault="00465222" w:rsidP="00465222">
      <w:pPr>
        <w:pStyle w:val="NormalWeb"/>
        <w:spacing w:before="0" w:beforeAutospacing="0" w:after="0" w:afterAutospacing="0"/>
        <w:rPr>
          <w:rFonts w:ascii="Calibri" w:hAnsi="Calibri" w:cs="Calibri"/>
          <w:sz w:val="22"/>
          <w:szCs w:val="22"/>
        </w:rPr>
      </w:pPr>
    </w:p>
    <w:p w14:paraId="19754688" w14:textId="51D2611C" w:rsidR="00465222" w:rsidRPr="00652BF3" w:rsidRDefault="00465222" w:rsidP="00652BF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European Union applies the international regulation, UN Regulation 141, for TPMS, which was developed by UN Working Party 29 (WP.29) under the </w:t>
      </w:r>
      <w:r w:rsidRPr="004B0F84">
        <w:rPr>
          <w:rFonts w:ascii="Calibri" w:hAnsi="Calibri" w:cs="Calibri"/>
          <w:sz w:val="22"/>
          <w:szCs w:val="22"/>
        </w:rPr>
        <w:t>1958 Agreement</w:t>
      </w:r>
      <w:r w:rsidR="00F145FC">
        <w:rPr>
          <w:rStyle w:val="FootnoteReference"/>
          <w:rFonts w:ascii="Calibri" w:hAnsi="Calibri" w:cs="Calibri"/>
          <w:sz w:val="22"/>
          <w:szCs w:val="22"/>
        </w:rPr>
        <w:footnoteReference w:id="7"/>
      </w:r>
      <w:r w:rsidRPr="58CB1C5F">
        <w:t>.</w:t>
      </w:r>
      <w:r w:rsidRPr="00652BF3">
        <w:rPr>
          <w:rFonts w:ascii="Calibri" w:hAnsi="Calibri" w:cs="Calibri"/>
          <w:sz w:val="22"/>
          <w:szCs w:val="22"/>
        </w:rPr>
        <w:t xml:space="preserve"> This would be the primary option to consider for a regulated standard. </w:t>
      </w:r>
      <w:r w:rsidR="008A5A1C" w:rsidRPr="00652BF3">
        <w:rPr>
          <w:rFonts w:ascii="Calibri" w:hAnsi="Calibri" w:cs="Calibri"/>
          <w:sz w:val="22"/>
          <w:szCs w:val="22"/>
        </w:rPr>
        <w:t>T</w:t>
      </w:r>
      <w:r w:rsidRPr="00652BF3">
        <w:rPr>
          <w:rFonts w:ascii="Calibri" w:hAnsi="Calibri" w:cs="Calibri"/>
          <w:sz w:val="22"/>
          <w:szCs w:val="22"/>
        </w:rPr>
        <w:t>he US also has a standard for TPMS</w:t>
      </w:r>
      <w:r w:rsidR="008A5A1C" w:rsidRPr="00652BF3">
        <w:rPr>
          <w:rFonts w:ascii="Calibri" w:hAnsi="Calibri" w:cs="Calibri"/>
          <w:sz w:val="22"/>
          <w:szCs w:val="22"/>
        </w:rPr>
        <w:t xml:space="preserve"> and</w:t>
      </w:r>
      <w:r w:rsidRPr="00652BF3">
        <w:rPr>
          <w:rFonts w:ascii="Calibri" w:hAnsi="Calibri" w:cs="Calibri"/>
          <w:sz w:val="22"/>
          <w:szCs w:val="22"/>
        </w:rPr>
        <w:t xml:space="preserve"> this may be considered as an alternative if </w:t>
      </w:r>
      <w:r w:rsidR="008A5A1C" w:rsidRPr="00652BF3">
        <w:rPr>
          <w:rFonts w:ascii="Calibri" w:hAnsi="Calibri" w:cs="Calibri"/>
          <w:sz w:val="22"/>
          <w:szCs w:val="22"/>
        </w:rPr>
        <w:t>the technical requirements are</w:t>
      </w:r>
      <w:r w:rsidRPr="00652BF3">
        <w:rPr>
          <w:rFonts w:ascii="Calibri" w:hAnsi="Calibri" w:cs="Calibri"/>
          <w:sz w:val="22"/>
          <w:szCs w:val="22"/>
        </w:rPr>
        <w:t xml:space="preserve"> consistent with the desired </w:t>
      </w:r>
      <w:r w:rsidR="008A5A1C" w:rsidRPr="00652BF3">
        <w:rPr>
          <w:rFonts w:ascii="Calibri" w:hAnsi="Calibri" w:cs="Calibri"/>
          <w:sz w:val="22"/>
          <w:szCs w:val="22"/>
        </w:rPr>
        <w:t>outcomes</w:t>
      </w:r>
      <w:r w:rsidRPr="00652BF3">
        <w:rPr>
          <w:rFonts w:ascii="Calibri" w:hAnsi="Calibri" w:cs="Calibri"/>
          <w:sz w:val="22"/>
          <w:szCs w:val="22"/>
        </w:rPr>
        <w:t>.</w:t>
      </w:r>
    </w:p>
    <w:p w14:paraId="431F80A2" w14:textId="77777777" w:rsidR="00192635" w:rsidRDefault="00192635"/>
    <w:p w14:paraId="014C00C9" w14:textId="77777777" w:rsidR="00465222" w:rsidRDefault="00DA42E2" w:rsidP="000922BB">
      <w:pPr>
        <w:pStyle w:val="BoxTitle"/>
      </w:pPr>
      <w:r>
        <w:t>T</w:t>
      </w:r>
      <w:r w:rsidR="00465222">
        <w:t>he options available</w:t>
      </w:r>
    </w:p>
    <w:p w14:paraId="1B529BE3" w14:textId="662B1143" w:rsidR="00425E17" w:rsidRPr="000922BB" w:rsidRDefault="00425E17" w:rsidP="00425E17">
      <w:pPr>
        <w:pStyle w:val="ListParagraph"/>
        <w:keepNext/>
        <w:numPr>
          <w:ilvl w:val="0"/>
          <w:numId w:val="19"/>
        </w:numPr>
        <w:spacing w:before="120" w:after="120"/>
        <w:textAlignment w:val="center"/>
        <w:rPr>
          <w:rFonts w:asciiTheme="minorHAnsi" w:hAnsiTheme="minorHAnsi" w:cstheme="minorHAnsi"/>
        </w:rPr>
      </w:pPr>
      <w:r w:rsidRPr="00425E17">
        <w:rPr>
          <w:rFonts w:asciiTheme="minorHAnsi" w:hAnsiTheme="minorHAnsi" w:cstheme="minorHAnsi"/>
          <w:b/>
        </w:rPr>
        <w:t>Business as usual</w:t>
      </w:r>
      <w:r>
        <w:rPr>
          <w:rFonts w:asciiTheme="minorHAnsi" w:hAnsiTheme="minorHAnsi" w:cstheme="minorHAnsi"/>
          <w:b/>
        </w:rPr>
        <w:br/>
      </w:r>
      <w:r w:rsidRPr="000922BB">
        <w:rPr>
          <w:rFonts w:asciiTheme="minorHAnsi" w:hAnsiTheme="minorHAnsi" w:cstheme="minorHAnsi"/>
        </w:rPr>
        <w:t xml:space="preserve">Allow industry and consumers to continue uptake based on market demands. Fitment rates are likely to continue to rise with market forces, in particular fuel prices and increasing public and private sector desire for cost savings and emissions reduction as long as the cost of fitting TPMS is not prohibitive. As above, an increase in fitment rates will realise a proportional benefit, but rates are unlikely to </w:t>
      </w:r>
      <w:r>
        <w:rPr>
          <w:rFonts w:asciiTheme="minorHAnsi" w:hAnsiTheme="minorHAnsi" w:cstheme="minorHAnsi"/>
        </w:rPr>
        <w:t xml:space="preserve">ever approach </w:t>
      </w:r>
      <w:r w:rsidRPr="000922BB">
        <w:rPr>
          <w:rFonts w:asciiTheme="minorHAnsi" w:hAnsiTheme="minorHAnsi" w:cstheme="minorHAnsi"/>
        </w:rPr>
        <w:t>100</w:t>
      </w:r>
      <w:r w:rsidR="00B25C8D">
        <w:rPr>
          <w:rFonts w:asciiTheme="minorHAnsi" w:hAnsiTheme="minorHAnsi" w:cstheme="minorHAnsi"/>
        </w:rPr>
        <w:t>%</w:t>
      </w:r>
      <w:r w:rsidRPr="000922BB">
        <w:rPr>
          <w:rFonts w:asciiTheme="minorHAnsi" w:hAnsiTheme="minorHAnsi" w:cstheme="minorHAnsi"/>
        </w:rPr>
        <w:t>. This method involves no associated cost.</w:t>
      </w:r>
    </w:p>
    <w:p w14:paraId="72AC04A8" w14:textId="677F8153" w:rsidR="00465222" w:rsidRPr="00652BF3" w:rsidRDefault="00465222" w:rsidP="00652BF3">
      <w:pPr>
        <w:pStyle w:val="ListParagraph"/>
        <w:keepNext/>
        <w:numPr>
          <w:ilvl w:val="0"/>
          <w:numId w:val="19"/>
        </w:numPr>
        <w:spacing w:before="120" w:after="120"/>
        <w:textAlignment w:val="center"/>
        <w:rPr>
          <w:rFonts w:asciiTheme="minorHAnsi" w:hAnsiTheme="minorHAnsi" w:cstheme="minorBidi"/>
        </w:rPr>
      </w:pPr>
      <w:r w:rsidRPr="00652BF3">
        <w:rPr>
          <w:rFonts w:asciiTheme="minorHAnsi" w:hAnsiTheme="minorHAnsi" w:cstheme="minorBidi"/>
          <w:b/>
          <w:bCs/>
        </w:rPr>
        <w:t>Encourage fitment by manufacturers, industry and consumers</w:t>
      </w:r>
      <w:r w:rsidR="00425E17">
        <w:rPr>
          <w:rFonts w:asciiTheme="minorHAnsi" w:hAnsiTheme="minorHAnsi" w:cstheme="minorHAnsi"/>
        </w:rPr>
        <w:br/>
      </w:r>
      <w:r w:rsidRPr="00652BF3">
        <w:rPr>
          <w:rFonts w:asciiTheme="minorHAnsi" w:hAnsiTheme="minorHAnsi" w:cstheme="minorBidi"/>
        </w:rPr>
        <w:t xml:space="preserve">There are a range of non-regulatory options </w:t>
      </w:r>
      <w:r w:rsidR="58CB1C5F" w:rsidRPr="00652BF3">
        <w:rPr>
          <w:rFonts w:asciiTheme="minorHAnsi" w:hAnsiTheme="minorHAnsi" w:cstheme="minorBidi"/>
        </w:rPr>
        <w:t xml:space="preserve">available </w:t>
      </w:r>
      <w:r w:rsidRPr="00652BF3">
        <w:rPr>
          <w:rFonts w:asciiTheme="minorHAnsi" w:hAnsiTheme="minorHAnsi" w:cstheme="minorBidi"/>
        </w:rPr>
        <w:t>to encourage higher fitment rates of TPMS in new vehicles. Depending on industry, operators and consumer sentiment and priorities, t</w:t>
      </w:r>
      <w:r w:rsidR="58CB1C5F" w:rsidRPr="00652BF3">
        <w:rPr>
          <w:rFonts w:asciiTheme="minorHAnsi" w:hAnsiTheme="minorHAnsi" w:cstheme="minorBidi"/>
        </w:rPr>
        <w:t xml:space="preserve">hese </w:t>
      </w:r>
      <w:r w:rsidRPr="00652BF3">
        <w:rPr>
          <w:rFonts w:asciiTheme="minorHAnsi" w:hAnsiTheme="minorHAnsi" w:cstheme="minorBidi"/>
        </w:rPr>
        <w:lastRenderedPageBreak/>
        <w:t>method</w:t>
      </w:r>
      <w:r w:rsidR="58CB1C5F" w:rsidRPr="00652BF3">
        <w:rPr>
          <w:rFonts w:asciiTheme="minorHAnsi" w:hAnsiTheme="minorHAnsi" w:cstheme="minorBidi"/>
        </w:rPr>
        <w:t>s</w:t>
      </w:r>
      <w:r w:rsidRPr="00652BF3">
        <w:rPr>
          <w:rFonts w:asciiTheme="minorHAnsi" w:hAnsiTheme="minorHAnsi" w:cstheme="minorBidi"/>
        </w:rPr>
        <w:t xml:space="preserve"> may result in significantly higher rates of fitment than are current, and may approach 100</w:t>
      </w:r>
      <w:r w:rsidR="00B25C8D" w:rsidRPr="00652BF3">
        <w:rPr>
          <w:rFonts w:asciiTheme="minorHAnsi" w:hAnsiTheme="minorHAnsi" w:cstheme="minorBidi"/>
        </w:rPr>
        <w:t>%</w:t>
      </w:r>
      <w:r w:rsidRPr="00652BF3">
        <w:rPr>
          <w:rFonts w:asciiTheme="minorHAnsi" w:hAnsiTheme="minorHAnsi" w:cstheme="minorBidi"/>
        </w:rPr>
        <w:t xml:space="preserve">. This is a less efficient method </w:t>
      </w:r>
      <w:r w:rsidR="003B5F6B" w:rsidRPr="00652BF3">
        <w:rPr>
          <w:rFonts w:asciiTheme="minorHAnsi" w:hAnsiTheme="minorHAnsi" w:cstheme="minorBidi"/>
        </w:rPr>
        <w:t>to achieve broad uptake as it relies on consumer sentiment</w:t>
      </w:r>
      <w:r w:rsidRPr="00652BF3">
        <w:rPr>
          <w:rFonts w:asciiTheme="minorHAnsi" w:hAnsiTheme="minorHAnsi" w:cstheme="minorBidi"/>
        </w:rPr>
        <w:t>. This option would be a lower cost option, with costs depending on the amount and type of engagement to encourage uptake.</w:t>
      </w:r>
      <w:r w:rsidR="003B5F6B" w:rsidRPr="00652BF3">
        <w:rPr>
          <w:rFonts w:asciiTheme="minorHAnsi" w:hAnsiTheme="minorHAnsi" w:cstheme="minorBidi"/>
        </w:rPr>
        <w:t xml:space="preserve"> It would be recommended to compl</w:t>
      </w:r>
      <w:r w:rsidR="00652BF3">
        <w:rPr>
          <w:rFonts w:asciiTheme="minorHAnsi" w:hAnsiTheme="minorHAnsi" w:cstheme="minorBidi"/>
        </w:rPr>
        <w:t>e</w:t>
      </w:r>
      <w:r w:rsidR="003B5F6B" w:rsidRPr="00652BF3">
        <w:rPr>
          <w:rFonts w:asciiTheme="minorHAnsi" w:hAnsiTheme="minorHAnsi" w:cstheme="minorBidi"/>
        </w:rPr>
        <w:t>ment this option with an ‘if fitted’ regulation for TPMS to set a minimum standard to provide confidence to consumers of the system performance.</w:t>
      </w:r>
    </w:p>
    <w:p w14:paraId="21686B4B" w14:textId="48309835" w:rsidR="00425E17" w:rsidRPr="00425E17" w:rsidRDefault="00425E17" w:rsidP="00425E17">
      <w:pPr>
        <w:pStyle w:val="ListParagraph"/>
        <w:keepNext/>
        <w:numPr>
          <w:ilvl w:val="0"/>
          <w:numId w:val="19"/>
        </w:numPr>
        <w:spacing w:before="120" w:after="120"/>
        <w:textAlignment w:val="center"/>
        <w:rPr>
          <w:rFonts w:asciiTheme="minorHAnsi" w:hAnsiTheme="minorHAnsi" w:cstheme="minorHAnsi"/>
        </w:rPr>
      </w:pPr>
      <w:r w:rsidRPr="00425E17">
        <w:rPr>
          <w:rFonts w:asciiTheme="minorHAnsi" w:hAnsiTheme="minorHAnsi" w:cstheme="minorHAnsi"/>
          <w:b/>
        </w:rPr>
        <w:t>Full regulation</w:t>
      </w:r>
      <w:r>
        <w:rPr>
          <w:rFonts w:asciiTheme="minorHAnsi" w:hAnsiTheme="minorHAnsi" w:cstheme="minorHAnsi"/>
        </w:rPr>
        <w:br/>
      </w:r>
      <w:r w:rsidRPr="00425E17">
        <w:rPr>
          <w:rFonts w:asciiTheme="minorHAnsi" w:hAnsiTheme="minorHAnsi" w:cstheme="minorHAnsi"/>
        </w:rPr>
        <w:t xml:space="preserve">Create new regulation to mandate the fitment of TPMS on new vehicles and to specify technical requirements for the performance of TPMS. This would </w:t>
      </w:r>
      <w:r>
        <w:rPr>
          <w:rFonts w:asciiTheme="minorHAnsi" w:hAnsiTheme="minorHAnsi" w:cstheme="minorHAnsi"/>
        </w:rPr>
        <w:t xml:space="preserve">aim to </w:t>
      </w:r>
      <w:r w:rsidRPr="00425E17">
        <w:rPr>
          <w:rFonts w:asciiTheme="minorHAnsi" w:hAnsiTheme="minorHAnsi" w:cstheme="minorHAnsi"/>
        </w:rPr>
        <w:t xml:space="preserve">achieve </w:t>
      </w:r>
      <w:r>
        <w:rPr>
          <w:rFonts w:asciiTheme="minorHAnsi" w:hAnsiTheme="minorHAnsi" w:cstheme="minorHAnsi"/>
        </w:rPr>
        <w:t xml:space="preserve">near </w:t>
      </w:r>
      <w:r w:rsidRPr="00425E17">
        <w:rPr>
          <w:rFonts w:asciiTheme="minorHAnsi" w:hAnsiTheme="minorHAnsi" w:cstheme="minorHAnsi"/>
        </w:rPr>
        <w:t>100</w:t>
      </w:r>
      <w:r w:rsidR="00B25C8D">
        <w:rPr>
          <w:rFonts w:asciiTheme="minorHAnsi" w:hAnsiTheme="minorHAnsi" w:cstheme="minorHAnsi"/>
        </w:rPr>
        <w:t>%</w:t>
      </w:r>
      <w:r w:rsidRPr="00425E17">
        <w:rPr>
          <w:rFonts w:asciiTheme="minorHAnsi" w:hAnsiTheme="minorHAnsi" w:cstheme="minorHAnsi"/>
        </w:rPr>
        <w:t xml:space="preserve"> fitment rates on new vehicles and realise the greatest benefit for emissions reduction, safety and </w:t>
      </w:r>
      <w:r>
        <w:rPr>
          <w:rFonts w:asciiTheme="minorHAnsi" w:hAnsiTheme="minorHAnsi" w:cstheme="minorHAnsi"/>
        </w:rPr>
        <w:t>cost savings to consumers and operators</w:t>
      </w:r>
      <w:r w:rsidRPr="00425E17">
        <w:rPr>
          <w:rFonts w:asciiTheme="minorHAnsi" w:hAnsiTheme="minorHAnsi" w:cstheme="minorHAnsi"/>
        </w:rPr>
        <w:t>. It would also involve the highest costs</w:t>
      </w:r>
      <w:r>
        <w:rPr>
          <w:rFonts w:asciiTheme="minorHAnsi" w:hAnsiTheme="minorHAnsi" w:cstheme="minorHAnsi"/>
        </w:rPr>
        <w:t xml:space="preserve"> for industry.</w:t>
      </w:r>
    </w:p>
    <w:p w14:paraId="242FC8CB" w14:textId="430B9081" w:rsidR="00465222" w:rsidRDefault="005B54DB" w:rsidP="005B54DB">
      <w:pPr>
        <w:spacing w:before="120" w:after="120"/>
        <w:textAlignment w:val="center"/>
        <w:rPr>
          <w:rFonts w:cs="Calibri"/>
        </w:rPr>
      </w:pPr>
      <w:r w:rsidRPr="005B54DB">
        <w:rPr>
          <w:rFonts w:cs="Calibri"/>
        </w:rPr>
        <w:t>The vehicle categories and usage cases where greatest benefits can be seen are also the ones where costs are highest, that being the medium to heavy long-haul freight segment. It should be noted that for combination vehicles, best outcomes are achieved when both truck and trailer are fitted with TPMS. BAU or voluntary market uptake may be extremely slow in this segment due to costs, even considering the potential savings. Work will need to be done in those segments if softer policy options are to have good effect.</w:t>
      </w:r>
    </w:p>
    <w:p w14:paraId="577E4EAD" w14:textId="4F00AF63" w:rsidR="00425E17" w:rsidRPr="001A46E1" w:rsidRDefault="00425E17" w:rsidP="00425E17">
      <w:pPr>
        <w:pStyle w:val="BoxTitle"/>
        <w:rPr>
          <w:lang w:eastAsia="en-AU"/>
        </w:rPr>
      </w:pPr>
      <w:r w:rsidRPr="001A46E1">
        <w:rPr>
          <w:lang w:eastAsia="en-AU"/>
        </w:rPr>
        <w:t xml:space="preserve">The objective of </w:t>
      </w:r>
      <w:r>
        <w:rPr>
          <w:lang w:eastAsia="en-AU"/>
        </w:rPr>
        <w:t>G</w:t>
      </w:r>
      <w:r w:rsidRPr="001A46E1">
        <w:rPr>
          <w:lang w:eastAsia="en-AU"/>
        </w:rPr>
        <w:t>overnment intervention</w:t>
      </w:r>
    </w:p>
    <w:p w14:paraId="239D333E" w14:textId="77777777" w:rsidR="00425E17" w:rsidRPr="001A46E1" w:rsidRDefault="00425E17" w:rsidP="00425E17">
      <w:pPr>
        <w:numPr>
          <w:ilvl w:val="0"/>
          <w:numId w:val="1"/>
        </w:numPr>
        <w:spacing w:before="120" w:after="120" w:line="240" w:lineRule="auto"/>
        <w:ind w:left="538" w:hanging="357"/>
        <w:textAlignment w:val="center"/>
        <w:rPr>
          <w:rFonts w:eastAsia="Times New Roman" w:cs="Calibri"/>
          <w:lang w:eastAsia="en-AU"/>
        </w:rPr>
      </w:pPr>
      <w:r w:rsidRPr="00AB68C8">
        <w:rPr>
          <w:rFonts w:cs="Calibri"/>
        </w:rPr>
        <w:t>Achieve</w:t>
      </w:r>
      <w:r w:rsidRPr="001A46E1">
        <w:rPr>
          <w:rFonts w:eastAsia="Times New Roman" w:cs="Calibri"/>
          <w:lang w:eastAsia="en-AU"/>
        </w:rPr>
        <w:t xml:space="preserve"> a rate of TPMS fitment</w:t>
      </w:r>
      <w:r>
        <w:rPr>
          <w:rFonts w:eastAsia="Times New Roman" w:cs="Calibri"/>
          <w:lang w:eastAsia="en-AU"/>
        </w:rPr>
        <w:t xml:space="preserve"> that efficiently reduces issues associated with under inflation.</w:t>
      </w:r>
    </w:p>
    <w:p w14:paraId="60C396AE" w14:textId="77777777" w:rsidR="00425E17" w:rsidRPr="000922BB" w:rsidRDefault="00425E17" w:rsidP="00425E17">
      <w:pPr>
        <w:numPr>
          <w:ilvl w:val="0"/>
          <w:numId w:val="1"/>
        </w:numPr>
        <w:spacing w:before="120" w:after="120" w:line="240" w:lineRule="auto"/>
        <w:ind w:left="538" w:hanging="357"/>
        <w:textAlignment w:val="center"/>
        <w:rPr>
          <w:rFonts w:eastAsia="Times New Roman" w:cs="Calibri"/>
          <w:lang w:eastAsia="en-AU"/>
        </w:rPr>
      </w:pPr>
      <w:r w:rsidRPr="00AB68C8">
        <w:rPr>
          <w:rFonts w:cs="Calibri"/>
        </w:rPr>
        <w:t>Standardise</w:t>
      </w:r>
      <w:r w:rsidRPr="001A46E1">
        <w:rPr>
          <w:rFonts w:eastAsia="Times New Roman" w:cs="Calibri"/>
          <w:lang w:eastAsia="en-AU"/>
        </w:rPr>
        <w:t xml:space="preserve"> the performance of TPMS through the adoption or recommendation of a set of technical requirements.</w:t>
      </w:r>
    </w:p>
    <w:p w14:paraId="4A788427" w14:textId="3700FFE9" w:rsidR="00425E17" w:rsidRPr="001A46E1" w:rsidRDefault="00425E17" w:rsidP="00425E17">
      <w:pPr>
        <w:spacing w:line="240" w:lineRule="auto"/>
        <w:rPr>
          <w:rFonts w:eastAsia="Times New Roman" w:cs="Calibri"/>
          <w:lang w:eastAsia="en-AU"/>
        </w:rPr>
      </w:pPr>
      <w:r>
        <w:rPr>
          <w:rFonts w:eastAsia="Times New Roman" w:cs="Calibri"/>
          <w:lang w:eastAsia="en-AU"/>
        </w:rPr>
        <w:t>Even</w:t>
      </w:r>
      <w:r w:rsidRPr="001A46E1">
        <w:rPr>
          <w:rFonts w:eastAsia="Times New Roman" w:cs="Calibri"/>
          <w:lang w:eastAsia="en-AU"/>
        </w:rPr>
        <w:t xml:space="preserve"> </w:t>
      </w:r>
      <w:r w:rsidR="00780BEB">
        <w:rPr>
          <w:rFonts w:eastAsia="Times New Roman" w:cs="Calibri"/>
          <w:lang w:eastAsia="en-AU"/>
        </w:rPr>
        <w:t xml:space="preserve">with </w:t>
      </w:r>
      <w:r w:rsidRPr="001A46E1">
        <w:rPr>
          <w:rFonts w:eastAsia="Times New Roman" w:cs="Calibri"/>
          <w:lang w:eastAsia="en-AU"/>
        </w:rPr>
        <w:t>100</w:t>
      </w:r>
      <w:r w:rsidR="00B25C8D">
        <w:rPr>
          <w:rFonts w:eastAsia="Times New Roman" w:cs="Calibri"/>
          <w:lang w:eastAsia="en-AU"/>
        </w:rPr>
        <w:t>%</w:t>
      </w:r>
      <w:r w:rsidRPr="001A46E1">
        <w:rPr>
          <w:rFonts w:eastAsia="Times New Roman" w:cs="Calibri"/>
          <w:lang w:eastAsia="en-AU"/>
        </w:rPr>
        <w:t xml:space="preserve"> fitment rates</w:t>
      </w:r>
      <w:r w:rsidR="003B5F6B">
        <w:rPr>
          <w:rFonts w:eastAsia="Times New Roman" w:cs="Calibri"/>
          <w:lang w:eastAsia="en-AU"/>
        </w:rPr>
        <w:t>, there would still be vehicles with</w:t>
      </w:r>
      <w:r w:rsidRPr="001A46E1">
        <w:rPr>
          <w:rFonts w:eastAsia="Times New Roman" w:cs="Calibri"/>
          <w:lang w:eastAsia="en-AU"/>
        </w:rPr>
        <w:t xml:space="preserve"> under or over-inflated tyres. Results depend </w:t>
      </w:r>
      <w:r>
        <w:rPr>
          <w:rFonts w:eastAsia="Times New Roman" w:cs="Calibri"/>
          <w:lang w:eastAsia="en-AU"/>
        </w:rPr>
        <w:t xml:space="preserve">on </w:t>
      </w:r>
      <w:r w:rsidRPr="001A46E1">
        <w:rPr>
          <w:rFonts w:eastAsia="Times New Roman" w:cs="Calibri"/>
          <w:lang w:eastAsia="en-AU"/>
        </w:rPr>
        <w:t xml:space="preserve">vehicle operators </w:t>
      </w:r>
      <w:r>
        <w:rPr>
          <w:rFonts w:eastAsia="Times New Roman" w:cs="Calibri"/>
          <w:lang w:eastAsia="en-AU"/>
        </w:rPr>
        <w:t>reacting</w:t>
      </w:r>
      <w:r w:rsidRPr="001A46E1">
        <w:rPr>
          <w:rFonts w:eastAsia="Times New Roman" w:cs="Calibri"/>
          <w:lang w:eastAsia="en-AU"/>
        </w:rPr>
        <w:t xml:space="preserve"> </w:t>
      </w:r>
      <w:r>
        <w:rPr>
          <w:rFonts w:eastAsia="Times New Roman" w:cs="Calibri"/>
          <w:lang w:eastAsia="en-AU"/>
        </w:rPr>
        <w:t xml:space="preserve">to </w:t>
      </w:r>
      <w:r w:rsidRPr="001A46E1">
        <w:rPr>
          <w:rFonts w:eastAsia="Times New Roman" w:cs="Calibri"/>
          <w:lang w:eastAsia="en-AU"/>
        </w:rPr>
        <w:t xml:space="preserve">the </w:t>
      </w:r>
      <w:r>
        <w:rPr>
          <w:rFonts w:eastAsia="Times New Roman" w:cs="Calibri"/>
          <w:lang w:eastAsia="en-AU"/>
        </w:rPr>
        <w:t xml:space="preserve">system </w:t>
      </w:r>
      <w:r w:rsidRPr="001A46E1">
        <w:rPr>
          <w:rFonts w:eastAsia="Times New Roman" w:cs="Calibri"/>
          <w:lang w:eastAsia="en-AU"/>
        </w:rPr>
        <w:t xml:space="preserve">warnings and taking appropriate </w:t>
      </w:r>
      <w:r>
        <w:rPr>
          <w:rFonts w:eastAsia="Times New Roman" w:cs="Calibri"/>
          <w:lang w:eastAsia="en-AU"/>
        </w:rPr>
        <w:t>action to correct tyre pressures</w:t>
      </w:r>
      <w:r w:rsidRPr="001A46E1">
        <w:rPr>
          <w:rFonts w:eastAsia="Times New Roman" w:cs="Calibri"/>
          <w:lang w:eastAsia="en-AU"/>
        </w:rPr>
        <w:t>. This human element introduces a</w:t>
      </w:r>
      <w:r>
        <w:rPr>
          <w:rFonts w:eastAsia="Times New Roman" w:cs="Calibri"/>
          <w:lang w:eastAsia="en-AU"/>
        </w:rPr>
        <w:t>n</w:t>
      </w:r>
      <w:r w:rsidRPr="001A46E1">
        <w:rPr>
          <w:rFonts w:eastAsia="Times New Roman" w:cs="Calibri"/>
          <w:lang w:eastAsia="en-AU"/>
        </w:rPr>
        <w:t xml:space="preserve"> </w:t>
      </w:r>
      <w:r>
        <w:rPr>
          <w:rFonts w:eastAsia="Times New Roman" w:cs="Calibri"/>
          <w:lang w:eastAsia="en-AU"/>
        </w:rPr>
        <w:t>unknown variable</w:t>
      </w:r>
      <w:r w:rsidRPr="001A46E1">
        <w:rPr>
          <w:rFonts w:eastAsia="Times New Roman" w:cs="Calibri"/>
          <w:lang w:eastAsia="en-AU"/>
        </w:rPr>
        <w:t xml:space="preserve"> where</w:t>
      </w:r>
      <w:r>
        <w:rPr>
          <w:rFonts w:eastAsia="Times New Roman" w:cs="Calibri"/>
          <w:lang w:eastAsia="en-AU"/>
        </w:rPr>
        <w:t>by</w:t>
      </w:r>
      <w:r w:rsidRPr="001A46E1">
        <w:rPr>
          <w:rFonts w:eastAsia="Times New Roman" w:cs="Calibri"/>
          <w:lang w:eastAsia="en-AU"/>
        </w:rPr>
        <w:t xml:space="preserve"> there may be a range of outcome</w:t>
      </w:r>
      <w:r>
        <w:rPr>
          <w:rFonts w:eastAsia="Times New Roman" w:cs="Calibri"/>
          <w:lang w:eastAsia="en-AU"/>
        </w:rPr>
        <w:t>s</w:t>
      </w:r>
      <w:r w:rsidRPr="001A46E1">
        <w:rPr>
          <w:rFonts w:eastAsia="Times New Roman" w:cs="Calibri"/>
          <w:lang w:eastAsia="en-AU"/>
        </w:rPr>
        <w:t xml:space="preserve">. For the purposes of the studies on which this </w:t>
      </w:r>
      <w:r>
        <w:rPr>
          <w:rFonts w:eastAsia="Times New Roman" w:cs="Calibri"/>
          <w:lang w:eastAsia="en-AU"/>
        </w:rPr>
        <w:t>discussion</w:t>
      </w:r>
      <w:r w:rsidRPr="001A46E1">
        <w:rPr>
          <w:rFonts w:eastAsia="Times New Roman" w:cs="Calibri"/>
          <w:lang w:eastAsia="en-AU"/>
        </w:rPr>
        <w:t xml:space="preserve"> is based, there were calculations made using an ideal case </w:t>
      </w:r>
      <w:r>
        <w:rPr>
          <w:rFonts w:eastAsia="Times New Roman" w:cs="Calibri"/>
          <w:lang w:eastAsia="en-AU"/>
        </w:rPr>
        <w:t>with 100</w:t>
      </w:r>
      <w:r w:rsidR="00B25C8D">
        <w:rPr>
          <w:rFonts w:eastAsia="Times New Roman" w:cs="Calibri"/>
          <w:lang w:eastAsia="en-AU"/>
        </w:rPr>
        <w:t>%</w:t>
      </w:r>
      <w:r>
        <w:rPr>
          <w:rFonts w:eastAsia="Times New Roman" w:cs="Calibri"/>
          <w:lang w:eastAsia="en-AU"/>
        </w:rPr>
        <w:t xml:space="preserve"> operator response</w:t>
      </w:r>
      <w:r w:rsidRPr="001A46E1">
        <w:rPr>
          <w:rFonts w:eastAsia="Times New Roman" w:cs="Calibri"/>
          <w:lang w:eastAsia="en-AU"/>
        </w:rPr>
        <w:t xml:space="preserve">, and a moderate case </w:t>
      </w:r>
      <w:r>
        <w:rPr>
          <w:rFonts w:eastAsia="Times New Roman" w:cs="Calibri"/>
          <w:lang w:eastAsia="en-AU"/>
        </w:rPr>
        <w:t>with</w:t>
      </w:r>
      <w:r w:rsidRPr="001A46E1">
        <w:rPr>
          <w:rFonts w:eastAsia="Times New Roman" w:cs="Calibri"/>
          <w:lang w:eastAsia="en-AU"/>
        </w:rPr>
        <w:t xml:space="preserve"> 50</w:t>
      </w:r>
      <w:r w:rsidR="00B25C8D">
        <w:rPr>
          <w:rFonts w:eastAsia="Times New Roman" w:cs="Calibri"/>
          <w:lang w:eastAsia="en-AU"/>
        </w:rPr>
        <w:t>%</w:t>
      </w:r>
      <w:r w:rsidRPr="001A46E1">
        <w:rPr>
          <w:rFonts w:eastAsia="Times New Roman" w:cs="Calibri"/>
          <w:lang w:eastAsia="en-AU"/>
        </w:rPr>
        <w:t xml:space="preserve"> </w:t>
      </w:r>
      <w:r>
        <w:rPr>
          <w:rFonts w:eastAsia="Times New Roman" w:cs="Calibri"/>
          <w:lang w:eastAsia="en-AU"/>
        </w:rPr>
        <w:t>operator response</w:t>
      </w:r>
      <w:r w:rsidRPr="001A46E1">
        <w:rPr>
          <w:rFonts w:eastAsia="Times New Roman" w:cs="Calibri"/>
          <w:lang w:eastAsia="en-AU"/>
        </w:rPr>
        <w:t xml:space="preserve">. The actual result of full regulation most likely falling somewhere inside this range. </w:t>
      </w:r>
    </w:p>
    <w:p w14:paraId="2DB36D8C" w14:textId="77777777" w:rsidR="00425E17" w:rsidRPr="005B54DB" w:rsidRDefault="00425E17" w:rsidP="005B54DB">
      <w:pPr>
        <w:spacing w:before="120" w:after="120"/>
        <w:textAlignment w:val="center"/>
        <w:rPr>
          <w:rFonts w:cs="Calibri"/>
        </w:rPr>
      </w:pPr>
    </w:p>
    <w:p w14:paraId="5836DAED" w14:textId="2059AE22" w:rsidR="00465222" w:rsidRDefault="00FB3BD3" w:rsidP="00FB3BD3">
      <w:pPr>
        <w:pStyle w:val="BoxTitle"/>
      </w:pPr>
      <w:r>
        <w:t xml:space="preserve">Considerations and </w:t>
      </w:r>
      <w:r w:rsidR="00BC11BE">
        <w:t xml:space="preserve">further </w:t>
      </w:r>
      <w:r>
        <w:t>questions</w:t>
      </w:r>
    </w:p>
    <w:p w14:paraId="4B79A55E" w14:textId="07765B92" w:rsidR="00FB3BD3" w:rsidRDefault="00FB3BD3" w:rsidP="00FB3BD3">
      <w:pPr>
        <w:pStyle w:val="ListParagraph"/>
        <w:numPr>
          <w:ilvl w:val="0"/>
          <w:numId w:val="4"/>
        </w:numPr>
        <w:spacing w:before="120" w:after="120"/>
        <w:ind w:left="473"/>
        <w:textAlignment w:val="center"/>
        <w:rPr>
          <w:rFonts w:cs="Calibri"/>
        </w:rPr>
      </w:pPr>
      <w:r w:rsidRPr="00A26444">
        <w:rPr>
          <w:rFonts w:cs="Calibri"/>
        </w:rPr>
        <w:t xml:space="preserve">The cost of a system may </w:t>
      </w:r>
      <w:r>
        <w:rPr>
          <w:rFonts w:cs="Calibri"/>
        </w:rPr>
        <w:t xml:space="preserve">vary </w:t>
      </w:r>
      <w:r w:rsidRPr="00A26444">
        <w:rPr>
          <w:rFonts w:cs="Calibri"/>
        </w:rPr>
        <w:t>significantly for vehicle categor</w:t>
      </w:r>
      <w:r>
        <w:rPr>
          <w:rFonts w:cs="Calibri"/>
        </w:rPr>
        <w:t>y</w:t>
      </w:r>
      <w:r w:rsidRPr="00A26444">
        <w:rPr>
          <w:rFonts w:cs="Calibri"/>
        </w:rPr>
        <w:t xml:space="preserve"> and configuration</w:t>
      </w:r>
      <w:r>
        <w:rPr>
          <w:rFonts w:cs="Calibri"/>
        </w:rPr>
        <w:t>,</w:t>
      </w:r>
      <w:r w:rsidRPr="00A26444">
        <w:rPr>
          <w:rFonts w:cs="Calibri"/>
        </w:rPr>
        <w:t xml:space="preserve"> as well as the type of system required</w:t>
      </w:r>
      <w:r>
        <w:rPr>
          <w:rFonts w:cs="Calibri"/>
        </w:rPr>
        <w:t xml:space="preserve"> either due to configuration or </w:t>
      </w:r>
      <w:r w:rsidR="00043A98">
        <w:rPr>
          <w:rFonts w:cs="Calibri"/>
        </w:rPr>
        <w:t xml:space="preserve">preference </w:t>
      </w:r>
      <w:r>
        <w:rPr>
          <w:rFonts w:cs="Calibri"/>
        </w:rPr>
        <w:t>for a direct system over an indirect one</w:t>
      </w:r>
      <w:r w:rsidRPr="00A26444">
        <w:rPr>
          <w:rFonts w:cs="Calibri"/>
        </w:rPr>
        <w:t>. Direct systems have maintenance requirement</w:t>
      </w:r>
      <w:r>
        <w:rPr>
          <w:rFonts w:cs="Calibri"/>
        </w:rPr>
        <w:t>s</w:t>
      </w:r>
      <w:r w:rsidRPr="00A26444">
        <w:rPr>
          <w:rFonts w:cs="Calibri"/>
        </w:rPr>
        <w:t xml:space="preserve"> due to sensors having batteries/power sources with a limited service life</w:t>
      </w:r>
      <w:r>
        <w:rPr>
          <w:rFonts w:cs="Calibri"/>
        </w:rPr>
        <w:t xml:space="preserve"> and the potential for damage from deflation</w:t>
      </w:r>
      <w:r w:rsidR="00043A98">
        <w:rPr>
          <w:rFonts w:cs="Calibri"/>
        </w:rPr>
        <w:t>, road</w:t>
      </w:r>
      <w:r>
        <w:rPr>
          <w:rFonts w:cs="Calibri"/>
        </w:rPr>
        <w:t xml:space="preserve"> incidents or maintenance procedures</w:t>
      </w:r>
      <w:r w:rsidRPr="00A26444">
        <w:rPr>
          <w:rFonts w:cs="Calibri"/>
        </w:rPr>
        <w:t xml:space="preserve">. Costings from various studies are </w:t>
      </w:r>
      <w:r>
        <w:rPr>
          <w:rFonts w:cs="Calibri"/>
        </w:rPr>
        <w:t>quite</w:t>
      </w:r>
      <w:r w:rsidRPr="00A26444">
        <w:rPr>
          <w:rFonts w:cs="Calibri"/>
        </w:rPr>
        <w:t xml:space="preserve"> out of date and are</w:t>
      </w:r>
      <w:r>
        <w:rPr>
          <w:rFonts w:cs="Calibri"/>
        </w:rPr>
        <w:t xml:space="preserve"> </w:t>
      </w:r>
      <w:r w:rsidR="00043A98">
        <w:rPr>
          <w:rFonts w:cs="Calibri"/>
        </w:rPr>
        <w:t>often</w:t>
      </w:r>
      <w:r w:rsidR="00043A98" w:rsidRPr="00A26444">
        <w:rPr>
          <w:rFonts w:cs="Calibri"/>
        </w:rPr>
        <w:t xml:space="preserve"> </w:t>
      </w:r>
      <w:r w:rsidRPr="00A26444">
        <w:rPr>
          <w:rFonts w:cs="Calibri"/>
        </w:rPr>
        <w:t xml:space="preserve">pre-mandate, meaning that there will have been changes in costs due to economy of scale and availability of technology. </w:t>
      </w:r>
    </w:p>
    <w:p w14:paraId="14C9D6E0" w14:textId="4090BBED" w:rsidR="00FB3BD3" w:rsidRPr="00D24900" w:rsidRDefault="00FB3BD3" w:rsidP="002E12E4">
      <w:pPr>
        <w:pStyle w:val="Question"/>
      </w:pPr>
      <w:r w:rsidRPr="002E12E4">
        <w:rPr>
          <w:b/>
        </w:rPr>
        <w:t>Question</w:t>
      </w:r>
      <w:r w:rsidR="00FA119F" w:rsidRPr="002E12E4">
        <w:rPr>
          <w:b/>
        </w:rPr>
        <w:t xml:space="preserve"> 3</w:t>
      </w:r>
      <w:r w:rsidRPr="00D24900">
        <w:t>: Are you able to provide OEM costing outlines for installation, including labour and consumables,</w:t>
      </w:r>
      <w:r w:rsidR="00D24900" w:rsidRPr="00D24900">
        <w:t xml:space="preserve"> of</w:t>
      </w:r>
      <w:r w:rsidRPr="00D24900">
        <w:t xml:space="preserve"> a TPMS that is able to satisfy the requirements of UN R 141 (01 series of amendments) using either a Direct or Indirect system as required by vehicle configuration or use case? </w:t>
      </w:r>
    </w:p>
    <w:p w14:paraId="1E450D0B" w14:textId="77777777" w:rsidR="00FB3BD3" w:rsidRDefault="00FB3BD3" w:rsidP="00FB3BD3">
      <w:pPr>
        <w:pStyle w:val="ListParagraph"/>
        <w:numPr>
          <w:ilvl w:val="0"/>
          <w:numId w:val="4"/>
        </w:numPr>
        <w:spacing w:before="120" w:after="120"/>
        <w:ind w:left="473"/>
        <w:textAlignment w:val="center"/>
        <w:rPr>
          <w:rFonts w:cs="Calibri"/>
        </w:rPr>
      </w:pPr>
      <w:r w:rsidRPr="00AB68C8">
        <w:rPr>
          <w:rFonts w:cs="Calibri"/>
        </w:rPr>
        <w:t xml:space="preserve">Market </w:t>
      </w:r>
      <w:r>
        <w:rPr>
          <w:rFonts w:cs="Calibri"/>
        </w:rPr>
        <w:t>uptake</w:t>
      </w:r>
      <w:r w:rsidRPr="00AB68C8">
        <w:rPr>
          <w:rFonts w:cs="Calibri"/>
        </w:rPr>
        <w:t xml:space="preserve"> of TPMS may already be at a high level in new vehicles</w:t>
      </w:r>
      <w:r>
        <w:rPr>
          <w:rFonts w:cs="Calibri"/>
        </w:rPr>
        <w:t>, particularly light vehicles</w:t>
      </w:r>
      <w:r w:rsidRPr="00AB68C8">
        <w:rPr>
          <w:rFonts w:cs="Calibri"/>
        </w:rPr>
        <w:t xml:space="preserve">. This could reduce the potential </w:t>
      </w:r>
      <w:r>
        <w:rPr>
          <w:rFonts w:cs="Calibri"/>
        </w:rPr>
        <w:t>benefits</w:t>
      </w:r>
      <w:r w:rsidRPr="00AB68C8">
        <w:rPr>
          <w:rFonts w:cs="Calibri"/>
        </w:rPr>
        <w:t xml:space="preserve"> </w:t>
      </w:r>
      <w:r>
        <w:rPr>
          <w:rFonts w:cs="Calibri"/>
        </w:rPr>
        <w:t>of mandatory</w:t>
      </w:r>
      <w:r w:rsidRPr="00AB68C8">
        <w:rPr>
          <w:rFonts w:cs="Calibri"/>
        </w:rPr>
        <w:t xml:space="preserve"> TPMS </w:t>
      </w:r>
      <w:r>
        <w:rPr>
          <w:rFonts w:cs="Calibri"/>
        </w:rPr>
        <w:t xml:space="preserve">as the </w:t>
      </w:r>
      <w:r w:rsidRPr="00AB68C8">
        <w:rPr>
          <w:rFonts w:cs="Calibri"/>
        </w:rPr>
        <w:t xml:space="preserve">gap </w:t>
      </w:r>
      <w:r>
        <w:rPr>
          <w:rFonts w:cs="Calibri"/>
        </w:rPr>
        <w:t>to</w:t>
      </w:r>
      <w:r w:rsidRPr="00AB68C8">
        <w:rPr>
          <w:rFonts w:cs="Calibri"/>
        </w:rPr>
        <w:t xml:space="preserve"> fitment </w:t>
      </w:r>
      <w:r>
        <w:rPr>
          <w:rFonts w:cs="Calibri"/>
        </w:rPr>
        <w:t xml:space="preserve">on </w:t>
      </w:r>
      <w:r w:rsidRPr="00AB68C8">
        <w:rPr>
          <w:rFonts w:cs="Calibri"/>
        </w:rPr>
        <w:t xml:space="preserve">all vehicles </w:t>
      </w:r>
      <w:r>
        <w:rPr>
          <w:rFonts w:cs="Calibri"/>
        </w:rPr>
        <w:t>will be</w:t>
      </w:r>
      <w:r w:rsidRPr="00AB68C8">
        <w:rPr>
          <w:rFonts w:cs="Calibri"/>
        </w:rPr>
        <w:t xml:space="preserve"> less than assumed. Percentage savings will be the same for the fleet portion not already voluntarily fitted with TPMS, but </w:t>
      </w:r>
      <w:r>
        <w:rPr>
          <w:rFonts w:cs="Calibri"/>
        </w:rPr>
        <w:t xml:space="preserve">the </w:t>
      </w:r>
      <w:r w:rsidRPr="00AB68C8">
        <w:rPr>
          <w:rFonts w:cs="Calibri"/>
        </w:rPr>
        <w:t xml:space="preserve">assumed reductions in </w:t>
      </w:r>
      <w:r>
        <w:rPr>
          <w:rFonts w:cs="Calibri"/>
        </w:rPr>
        <w:t xml:space="preserve">absolute </w:t>
      </w:r>
      <w:r w:rsidRPr="00AB68C8">
        <w:rPr>
          <w:rFonts w:cs="Calibri"/>
        </w:rPr>
        <w:t>fuel</w:t>
      </w:r>
      <w:r>
        <w:rPr>
          <w:rFonts w:cs="Calibri"/>
        </w:rPr>
        <w:t xml:space="preserve"> and </w:t>
      </w:r>
      <w:r w:rsidRPr="00AB68C8">
        <w:rPr>
          <w:rFonts w:cs="Calibri"/>
        </w:rPr>
        <w:lastRenderedPageBreak/>
        <w:t>energy use, CO</w:t>
      </w:r>
      <w:r w:rsidRPr="00AB68C8">
        <w:rPr>
          <w:rFonts w:cs="Calibri"/>
          <w:vertAlign w:val="subscript"/>
        </w:rPr>
        <w:t>2</w:t>
      </w:r>
      <w:r w:rsidRPr="00AB68C8">
        <w:rPr>
          <w:rFonts w:cs="Calibri"/>
        </w:rPr>
        <w:t xml:space="preserve"> emissions, tyre wear, maintenance and safety can only be expected for </w:t>
      </w:r>
      <w:r>
        <w:rPr>
          <w:rFonts w:cs="Calibri"/>
        </w:rPr>
        <w:t>the</w:t>
      </w:r>
      <w:r w:rsidRPr="00AB68C8">
        <w:rPr>
          <w:rFonts w:cs="Calibri"/>
        </w:rPr>
        <w:t xml:space="preserve"> gap portion of the fleet.</w:t>
      </w:r>
    </w:p>
    <w:p w14:paraId="5A122547" w14:textId="157F2EE0" w:rsidR="00FB3BD3" w:rsidRPr="00F05E65" w:rsidRDefault="00FB3BD3" w:rsidP="002E12E4">
      <w:pPr>
        <w:pStyle w:val="Question"/>
      </w:pPr>
      <w:r w:rsidRPr="002E12E4">
        <w:rPr>
          <w:b/>
        </w:rPr>
        <w:t>Question</w:t>
      </w:r>
      <w:r w:rsidR="00DF3DF0" w:rsidRPr="002E12E4">
        <w:rPr>
          <w:b/>
        </w:rPr>
        <w:t xml:space="preserve"> 4</w:t>
      </w:r>
      <w:r w:rsidRPr="00DF3DF0">
        <w:t>: What are the levels of voluntary uptake in your market segment</w:t>
      </w:r>
      <w:r w:rsidR="00D24900" w:rsidRPr="00DF3DF0">
        <w:t>,</w:t>
      </w:r>
      <w:r w:rsidRPr="00DF3DF0">
        <w:t xml:space="preserve"> or what gap is there to 100</w:t>
      </w:r>
      <w:r w:rsidR="00D24900" w:rsidRPr="00F05E65">
        <w:t xml:space="preserve">% segment </w:t>
      </w:r>
      <w:r w:rsidRPr="00F05E65">
        <w:t>installation of TPMS?</w:t>
      </w:r>
    </w:p>
    <w:p w14:paraId="052CFD2C" w14:textId="0756F430" w:rsidR="00FB3BD3" w:rsidRDefault="00043A98" w:rsidP="00FB3BD3">
      <w:pPr>
        <w:pStyle w:val="ListParagraph"/>
        <w:numPr>
          <w:ilvl w:val="0"/>
          <w:numId w:val="4"/>
        </w:numPr>
        <w:spacing w:before="120" w:after="120"/>
        <w:ind w:left="473"/>
        <w:textAlignment w:val="center"/>
        <w:rPr>
          <w:rFonts w:cs="Calibri"/>
        </w:rPr>
      </w:pPr>
      <w:r>
        <w:rPr>
          <w:rFonts w:cs="Calibri"/>
        </w:rPr>
        <w:t>The success of TPMS is reliant on</w:t>
      </w:r>
      <w:r w:rsidR="00FB3BD3" w:rsidRPr="0024636B">
        <w:rPr>
          <w:rFonts w:cs="Calibri"/>
        </w:rPr>
        <w:t xml:space="preserve"> </w:t>
      </w:r>
      <w:r>
        <w:rPr>
          <w:rFonts w:cs="Calibri"/>
        </w:rPr>
        <w:t>driver</w:t>
      </w:r>
      <w:r w:rsidR="00FB3BD3" w:rsidRPr="0024636B">
        <w:rPr>
          <w:rFonts w:cs="Calibri"/>
        </w:rPr>
        <w:t xml:space="preserve"> response to </w:t>
      </w:r>
      <w:r w:rsidR="00FB3BD3">
        <w:rPr>
          <w:rFonts w:cs="Calibri"/>
        </w:rPr>
        <w:t>correcting tyre pressure</w:t>
      </w:r>
      <w:r>
        <w:rPr>
          <w:rFonts w:cs="Calibri"/>
        </w:rPr>
        <w:t xml:space="preserve"> when prompted</w:t>
      </w:r>
      <w:r w:rsidR="00FB3BD3" w:rsidRPr="0024636B">
        <w:rPr>
          <w:rFonts w:cs="Calibri"/>
        </w:rPr>
        <w:t xml:space="preserve">. </w:t>
      </w:r>
      <w:r w:rsidR="00FB3BD3">
        <w:rPr>
          <w:rFonts w:cs="Calibri"/>
        </w:rPr>
        <w:t>Drivers</w:t>
      </w:r>
      <w:r w:rsidR="00FB3BD3" w:rsidRPr="0024636B">
        <w:rPr>
          <w:rFonts w:cs="Calibri"/>
        </w:rPr>
        <w:t xml:space="preserve"> ignoring the tyre pressure warnings, being slow to respond to warnings, or tampering with the system to reduce or eliminate warnings</w:t>
      </w:r>
      <w:r w:rsidR="00FB3BD3">
        <w:rPr>
          <w:rFonts w:cs="Calibri"/>
        </w:rPr>
        <w:t xml:space="preserve"> will reduce the assumed benefits.</w:t>
      </w:r>
    </w:p>
    <w:p w14:paraId="29F93570" w14:textId="711ECC47" w:rsidR="00D24900" w:rsidRPr="00D24900" w:rsidRDefault="00D24900" w:rsidP="002E12E4">
      <w:pPr>
        <w:pStyle w:val="Question"/>
      </w:pPr>
      <w:r w:rsidRPr="002E12E4">
        <w:rPr>
          <w:b/>
        </w:rPr>
        <w:t>Question</w:t>
      </w:r>
      <w:r w:rsidR="00DF3DF0" w:rsidRPr="002E12E4">
        <w:rPr>
          <w:b/>
        </w:rPr>
        <w:t xml:space="preserve"> 5</w:t>
      </w:r>
      <w:r w:rsidRPr="00D24900">
        <w:t>: Is there available data on operator response rates to TPMS warnings in your segment?</w:t>
      </w:r>
    </w:p>
    <w:p w14:paraId="5883C2DB" w14:textId="5DDA4157" w:rsidR="00FB3BD3" w:rsidRDefault="00FB3BD3" w:rsidP="00FB3BD3">
      <w:pPr>
        <w:pStyle w:val="ListParagraph"/>
        <w:numPr>
          <w:ilvl w:val="0"/>
          <w:numId w:val="4"/>
        </w:numPr>
        <w:spacing w:before="120" w:after="120"/>
        <w:ind w:left="473"/>
        <w:textAlignment w:val="center"/>
        <w:rPr>
          <w:rFonts w:cs="Calibri"/>
        </w:rPr>
      </w:pPr>
      <w:r w:rsidRPr="0024636B">
        <w:rPr>
          <w:rFonts w:cs="Calibri"/>
        </w:rPr>
        <w:t xml:space="preserve"> TPMS is mandated for light passenger and commercial (</w:t>
      </w:r>
      <w:r>
        <w:rPr>
          <w:rFonts w:cs="Calibri"/>
        </w:rPr>
        <w:t>Australian</w:t>
      </w:r>
      <w:r w:rsidRPr="0024636B">
        <w:rPr>
          <w:rFonts w:cs="Calibri"/>
        </w:rPr>
        <w:t xml:space="preserve"> MA and NA</w:t>
      </w:r>
      <w:r>
        <w:rPr>
          <w:rFonts w:cs="Calibri"/>
        </w:rPr>
        <w:t xml:space="preserve"> vehicle categories</w:t>
      </w:r>
      <w:r w:rsidRPr="0024636B">
        <w:rPr>
          <w:rFonts w:cs="Calibri"/>
        </w:rPr>
        <w:t xml:space="preserve">) in many feeder markets and therefore the production </w:t>
      </w:r>
      <w:r>
        <w:rPr>
          <w:rFonts w:cs="Calibri"/>
        </w:rPr>
        <w:t xml:space="preserve">and installation </w:t>
      </w:r>
      <w:r w:rsidRPr="0024636B">
        <w:rPr>
          <w:rFonts w:cs="Calibri"/>
        </w:rPr>
        <w:t xml:space="preserve">cost of TPMS can be assumed to be low for most light vehicle </w:t>
      </w:r>
      <w:r>
        <w:rPr>
          <w:rFonts w:cs="Calibri"/>
        </w:rPr>
        <w:t>manufacturers</w:t>
      </w:r>
      <w:r w:rsidRPr="0024636B">
        <w:rPr>
          <w:rFonts w:cs="Calibri"/>
        </w:rPr>
        <w:t xml:space="preserve">. Heavy vehicle TPMS has not yet been fully mandated in feeder markets, although it </w:t>
      </w:r>
      <w:r>
        <w:rPr>
          <w:rFonts w:cs="Calibri"/>
        </w:rPr>
        <w:t>is being introduced over</w:t>
      </w:r>
      <w:r w:rsidRPr="0024636B">
        <w:rPr>
          <w:rFonts w:cs="Calibri"/>
        </w:rPr>
        <w:t xml:space="preserve"> the next 2 years</w:t>
      </w:r>
      <w:r>
        <w:rPr>
          <w:rFonts w:cs="Calibri"/>
        </w:rPr>
        <w:t xml:space="preserve"> for heavy vehicles in Europe</w:t>
      </w:r>
      <w:r w:rsidR="00043A98">
        <w:rPr>
          <w:rFonts w:cs="Calibri"/>
        </w:rPr>
        <w:t xml:space="preserve"> and is active to safety only based technical standards in the US</w:t>
      </w:r>
      <w:r>
        <w:rPr>
          <w:rFonts w:cs="Calibri"/>
        </w:rPr>
        <w:t>.</w:t>
      </w:r>
      <w:r w:rsidRPr="0024636B">
        <w:rPr>
          <w:rFonts w:cs="Calibri"/>
        </w:rPr>
        <w:t xml:space="preserve"> </w:t>
      </w:r>
    </w:p>
    <w:p w14:paraId="06FD9409" w14:textId="078B5EA3" w:rsidR="00D24900" w:rsidRPr="00F05E65" w:rsidRDefault="00FB3BD3" w:rsidP="00F05E65">
      <w:pPr>
        <w:pStyle w:val="Question"/>
      </w:pPr>
      <w:r w:rsidRPr="00F05E65">
        <w:rPr>
          <w:b/>
        </w:rPr>
        <w:t>Question</w:t>
      </w:r>
      <w:r w:rsidR="00DF3DF0" w:rsidRPr="00F05E65">
        <w:rPr>
          <w:b/>
        </w:rPr>
        <w:t xml:space="preserve"> 6</w:t>
      </w:r>
      <w:r w:rsidRPr="00F05E65">
        <w:t xml:space="preserve">: Are there </w:t>
      </w:r>
      <w:r w:rsidR="00F05E65">
        <w:t>h</w:t>
      </w:r>
      <w:r w:rsidRPr="00F05E65">
        <w:t>eavy vehicle</w:t>
      </w:r>
      <w:r w:rsidR="00D24900" w:rsidRPr="00F05E65">
        <w:t xml:space="preserve"> (including trailer)</w:t>
      </w:r>
      <w:r w:rsidRPr="00F05E65">
        <w:t xml:space="preserve"> manufacturers offering OEM TPMS as either standard or optional equipment to Australian buyers?</w:t>
      </w:r>
      <w:r w:rsidR="00F05E65">
        <w:br/>
      </w:r>
      <w:r w:rsidR="00F05E65" w:rsidRPr="00F05E65">
        <w:rPr>
          <w:b/>
        </w:rPr>
        <w:t>a)</w:t>
      </w:r>
      <w:r w:rsidR="00F05E65">
        <w:t xml:space="preserve"> </w:t>
      </w:r>
      <w:r w:rsidRPr="00F05E65">
        <w:t xml:space="preserve">If so, what type of systems are they and </w:t>
      </w:r>
      <w:r w:rsidR="00F05E65">
        <w:t xml:space="preserve">what percentage of sales have included </w:t>
      </w:r>
      <w:r w:rsidRPr="00F05E65">
        <w:t>voluntary uptake of optional systems?</w:t>
      </w:r>
      <w:r w:rsidR="00DF3DF0" w:rsidRPr="00F05E65">
        <w:br/>
      </w:r>
      <w:r w:rsidR="00F05E65" w:rsidRPr="00F05E65">
        <w:rPr>
          <w:b/>
        </w:rPr>
        <w:t>c)</w:t>
      </w:r>
      <w:r w:rsidR="00F05E65">
        <w:t xml:space="preserve"> Which</w:t>
      </w:r>
      <w:r w:rsidR="00D24900" w:rsidRPr="00F05E65">
        <w:t xml:space="preserve"> heavy vehicle fleet operator</w:t>
      </w:r>
      <w:r w:rsidR="00B53762" w:rsidRPr="00F05E65">
        <w:t>s</w:t>
      </w:r>
      <w:r w:rsidR="00D24900" w:rsidRPr="00F05E65">
        <w:t xml:space="preserve"> </w:t>
      </w:r>
      <w:r w:rsidR="002E12E4">
        <w:t xml:space="preserve">are </w:t>
      </w:r>
      <w:r w:rsidR="00D24900" w:rsidRPr="00F05E65">
        <w:t>using TPMS</w:t>
      </w:r>
      <w:r w:rsidR="00B53762" w:rsidRPr="00F05E65">
        <w:t xml:space="preserve"> or Central Tyre Inflation Systems</w:t>
      </w:r>
      <w:r w:rsidR="00D24900" w:rsidRPr="00F05E65">
        <w:t xml:space="preserve">? </w:t>
      </w:r>
      <w:r w:rsidR="00F05E65">
        <w:t xml:space="preserve">Would they be willing </w:t>
      </w:r>
      <w:r w:rsidR="00D24900" w:rsidRPr="00F05E65">
        <w:t xml:space="preserve">to share their </w:t>
      </w:r>
      <w:r w:rsidR="00B53762" w:rsidRPr="00F05E65">
        <w:t xml:space="preserve">reasoning </w:t>
      </w:r>
      <w:r w:rsidR="00F05E65">
        <w:t>and</w:t>
      </w:r>
      <w:r w:rsidR="00B53762" w:rsidRPr="00F05E65">
        <w:t xml:space="preserve"> experiences with the department?</w:t>
      </w:r>
    </w:p>
    <w:p w14:paraId="5BC5FE01" w14:textId="19B510E9" w:rsidR="00DF3DF0" w:rsidRDefault="00DF3DF0">
      <w:pPr>
        <w:spacing w:line="259" w:lineRule="auto"/>
      </w:pPr>
      <w:r>
        <w:br w:type="page"/>
      </w:r>
    </w:p>
    <w:p w14:paraId="55AE6479" w14:textId="77777777" w:rsidR="00465222" w:rsidRPr="00236936" w:rsidRDefault="00465222" w:rsidP="00465222">
      <w:pPr>
        <w:pStyle w:val="BoxTitle"/>
      </w:pPr>
      <w:r>
        <w:lastRenderedPageBreak/>
        <w:t>Appendix A</w:t>
      </w:r>
    </w:p>
    <w:p w14:paraId="1E515651" w14:textId="38345FD1" w:rsidR="00465222" w:rsidRDefault="00465222" w:rsidP="00465222">
      <w:pPr>
        <w:spacing w:before="120" w:after="120" w:line="240" w:lineRule="auto"/>
        <w:textAlignment w:val="center"/>
        <w:rPr>
          <w:rFonts w:asciiTheme="minorHAnsi" w:hAnsiTheme="minorHAnsi"/>
        </w:rPr>
      </w:pPr>
      <w:r>
        <w:rPr>
          <w:rFonts w:ascii="Century Gothic" w:hAnsi="Century Gothic"/>
          <w:sz w:val="20"/>
        </w:rPr>
        <w:fldChar w:fldCharType="begin"/>
      </w:r>
      <w:r>
        <w:instrText xml:space="preserve"> LINK </w:instrText>
      </w:r>
      <w:r w:rsidR="00D475FC">
        <w:instrText xml:space="preserve">Excel.Sheet.12 "\\\\internal.dotars.gov.au\\dfs\\CBR1\\HOME4\\RThatcher\\My Documents\\Tyre pressure monitoring RIS\\Calculation spread sheets\\Potential Fuel savings figures.xlsx" Sheet1!R1C1:R14C6 </w:instrText>
      </w:r>
      <w:r>
        <w:instrText xml:space="preserve">\a \f 4 \h </w:instrText>
      </w:r>
      <w:r w:rsidR="00585F7D">
        <w:instrText xml:space="preserve"> \* MERGEFORMAT </w:instrText>
      </w:r>
      <w:r>
        <w:rPr>
          <w:rFonts w:ascii="Century Gothic" w:hAnsi="Century Gothic"/>
          <w:sz w:val="20"/>
        </w:rPr>
        <w:fldChar w:fldCharType="separate"/>
      </w:r>
    </w:p>
    <w:tbl>
      <w:tblPr>
        <w:tblW w:w="8222" w:type="dxa"/>
        <w:tblLook w:val="04A0" w:firstRow="1" w:lastRow="0" w:firstColumn="1" w:lastColumn="0" w:noHBand="0" w:noVBand="1"/>
      </w:tblPr>
      <w:tblGrid>
        <w:gridCol w:w="2260"/>
        <w:gridCol w:w="960"/>
        <w:gridCol w:w="1033"/>
        <w:gridCol w:w="1134"/>
        <w:gridCol w:w="1276"/>
        <w:gridCol w:w="1559"/>
      </w:tblGrid>
      <w:tr w:rsidR="00465222" w:rsidRPr="00A06EE2" w14:paraId="57FAB959" w14:textId="77777777" w:rsidTr="002E12E4">
        <w:trPr>
          <w:cantSplit/>
          <w:trHeight w:val="315"/>
        </w:trPr>
        <w:tc>
          <w:tcPr>
            <w:tcW w:w="5387" w:type="dxa"/>
            <w:gridSpan w:val="4"/>
            <w:tcBorders>
              <w:top w:val="nil"/>
              <w:left w:val="nil"/>
              <w:bottom w:val="nil"/>
              <w:right w:val="nil"/>
            </w:tcBorders>
            <w:shd w:val="clear" w:color="auto" w:fill="auto"/>
            <w:noWrap/>
            <w:vAlign w:val="bottom"/>
            <w:hideMark/>
          </w:tcPr>
          <w:p w14:paraId="31692B88" w14:textId="77777777" w:rsidR="00465222" w:rsidRPr="00154F0F" w:rsidRDefault="00465222" w:rsidP="00DF3DF0">
            <w:pPr>
              <w:keepNext/>
              <w:spacing w:after="0" w:line="240" w:lineRule="auto"/>
              <w:rPr>
                <w:rFonts w:ascii="Arial" w:eastAsia="Times New Roman" w:hAnsi="Arial" w:cs="Arial"/>
                <w:b/>
                <w:bCs/>
                <w:sz w:val="24"/>
                <w:szCs w:val="24"/>
                <w:lang w:eastAsia="en-AU"/>
              </w:rPr>
            </w:pPr>
            <w:r w:rsidRPr="00154F0F">
              <w:rPr>
                <w:rFonts w:ascii="Arial" w:eastAsia="Times New Roman" w:hAnsi="Arial" w:cs="Arial"/>
                <w:b/>
                <w:bCs/>
                <w:sz w:val="24"/>
                <w:szCs w:val="24"/>
                <w:lang w:eastAsia="en-AU"/>
              </w:rPr>
              <w:t xml:space="preserve">Potential fuel savings - whole of fleet TPMS </w:t>
            </w:r>
          </w:p>
        </w:tc>
        <w:tc>
          <w:tcPr>
            <w:tcW w:w="1276" w:type="dxa"/>
            <w:tcBorders>
              <w:top w:val="nil"/>
              <w:left w:val="nil"/>
              <w:bottom w:val="nil"/>
              <w:right w:val="nil"/>
            </w:tcBorders>
            <w:shd w:val="clear" w:color="auto" w:fill="auto"/>
            <w:noWrap/>
            <w:vAlign w:val="bottom"/>
            <w:hideMark/>
          </w:tcPr>
          <w:p w14:paraId="2AB7CC89" w14:textId="77777777" w:rsidR="00465222" w:rsidRPr="00154F0F" w:rsidRDefault="00465222" w:rsidP="00DF3DF0">
            <w:pPr>
              <w:keepNext/>
              <w:spacing w:after="0" w:line="240" w:lineRule="auto"/>
              <w:rPr>
                <w:rFonts w:ascii="Arial" w:eastAsia="Times New Roman" w:hAnsi="Arial" w:cs="Arial"/>
                <w:b/>
                <w:bCs/>
                <w:sz w:val="24"/>
                <w:szCs w:val="24"/>
                <w:lang w:eastAsia="en-AU"/>
              </w:rPr>
            </w:pPr>
          </w:p>
        </w:tc>
        <w:tc>
          <w:tcPr>
            <w:tcW w:w="1559" w:type="dxa"/>
            <w:tcBorders>
              <w:top w:val="nil"/>
              <w:left w:val="nil"/>
              <w:bottom w:val="nil"/>
              <w:right w:val="nil"/>
            </w:tcBorders>
            <w:shd w:val="clear" w:color="auto" w:fill="auto"/>
            <w:noWrap/>
            <w:vAlign w:val="bottom"/>
            <w:hideMark/>
          </w:tcPr>
          <w:p w14:paraId="682E6C39" w14:textId="77777777" w:rsidR="00465222" w:rsidRPr="00154F0F" w:rsidRDefault="00465222" w:rsidP="00DF3DF0">
            <w:pPr>
              <w:keepNext/>
              <w:spacing w:after="0" w:line="240" w:lineRule="auto"/>
              <w:rPr>
                <w:rFonts w:ascii="Times New Roman" w:eastAsia="Times New Roman" w:hAnsi="Times New Roman" w:cs="Times New Roman"/>
                <w:szCs w:val="20"/>
                <w:lang w:eastAsia="en-AU"/>
              </w:rPr>
            </w:pPr>
          </w:p>
        </w:tc>
      </w:tr>
      <w:tr w:rsidR="00465222" w:rsidRPr="00A06EE2" w14:paraId="0BA2E09C" w14:textId="77777777" w:rsidTr="002E12E4">
        <w:trPr>
          <w:cantSplit/>
          <w:trHeight w:val="555"/>
        </w:trPr>
        <w:tc>
          <w:tcPr>
            <w:tcW w:w="8222" w:type="dxa"/>
            <w:gridSpan w:val="6"/>
            <w:tcBorders>
              <w:top w:val="nil"/>
              <w:left w:val="nil"/>
              <w:bottom w:val="nil"/>
              <w:right w:val="nil"/>
            </w:tcBorders>
            <w:shd w:val="clear" w:color="auto" w:fill="auto"/>
            <w:vAlign w:val="bottom"/>
            <w:hideMark/>
          </w:tcPr>
          <w:p w14:paraId="48A561B9" w14:textId="389566C8" w:rsidR="00465222" w:rsidRPr="00154F0F" w:rsidRDefault="00465222" w:rsidP="00DF3DF0">
            <w:pPr>
              <w:keepNext/>
              <w:spacing w:after="0" w:line="240" w:lineRule="auto"/>
              <w:rPr>
                <w:rFonts w:ascii="Arial" w:eastAsia="Times New Roman" w:hAnsi="Arial" w:cs="Arial"/>
                <w:szCs w:val="20"/>
                <w:lang w:eastAsia="en-AU"/>
              </w:rPr>
            </w:pPr>
            <w:r w:rsidRPr="00154F0F">
              <w:rPr>
                <w:rFonts w:ascii="Arial" w:eastAsia="Times New Roman" w:hAnsi="Arial" w:cs="Arial"/>
                <w:szCs w:val="20"/>
                <w:lang w:eastAsia="en-AU"/>
              </w:rPr>
              <w:t xml:space="preserve">Using data from ABS Survey of Motor Vehicle Use, Australia, </w:t>
            </w:r>
            <w:r w:rsidR="00D475FC" w:rsidRPr="00154F0F">
              <w:rPr>
                <w:rFonts w:ascii="Arial" w:eastAsia="Times New Roman" w:hAnsi="Arial" w:cs="Arial"/>
                <w:szCs w:val="20"/>
                <w:lang w:eastAsia="en-AU"/>
              </w:rPr>
              <w:t>12 </w:t>
            </w:r>
            <w:r w:rsidRPr="00154F0F">
              <w:rPr>
                <w:rFonts w:ascii="Arial" w:eastAsia="Times New Roman" w:hAnsi="Arial" w:cs="Arial"/>
                <w:szCs w:val="20"/>
                <w:lang w:eastAsia="en-AU"/>
              </w:rPr>
              <w:t>months to 30 June 2020</w:t>
            </w:r>
          </w:p>
        </w:tc>
      </w:tr>
      <w:tr w:rsidR="00465222" w:rsidRPr="00A06EE2" w14:paraId="54002C22" w14:textId="77777777" w:rsidTr="002E12E4">
        <w:trPr>
          <w:cantSplit/>
          <w:trHeight w:val="237"/>
        </w:trPr>
        <w:tc>
          <w:tcPr>
            <w:tcW w:w="8222" w:type="dxa"/>
            <w:gridSpan w:val="6"/>
            <w:tcBorders>
              <w:top w:val="nil"/>
              <w:left w:val="nil"/>
              <w:bottom w:val="nil"/>
              <w:right w:val="nil"/>
            </w:tcBorders>
            <w:shd w:val="clear" w:color="auto" w:fill="auto"/>
            <w:noWrap/>
            <w:vAlign w:val="bottom"/>
            <w:hideMark/>
          </w:tcPr>
          <w:p w14:paraId="028F7174" w14:textId="77777777" w:rsidR="00465222" w:rsidRPr="00154F0F" w:rsidRDefault="00465222" w:rsidP="00DF3DF0">
            <w:pPr>
              <w:keepNext/>
              <w:spacing w:after="0" w:line="240" w:lineRule="auto"/>
              <w:rPr>
                <w:rFonts w:ascii="Arial" w:eastAsia="Times New Roman" w:hAnsi="Arial" w:cs="Arial"/>
                <w:color w:val="000000"/>
                <w:sz w:val="18"/>
                <w:szCs w:val="18"/>
                <w:lang w:eastAsia="en-AU"/>
              </w:rPr>
            </w:pPr>
            <w:r w:rsidRPr="00154F0F">
              <w:rPr>
                <w:rFonts w:ascii="Arial" w:eastAsia="Times New Roman" w:hAnsi="Arial" w:cs="Arial"/>
                <w:color w:val="000000"/>
                <w:sz w:val="18"/>
                <w:szCs w:val="18"/>
                <w:lang w:eastAsia="en-AU"/>
              </w:rPr>
              <w:t>High savings potential is 100% response rate to TPMS warnings. Low is 50%</w:t>
            </w:r>
          </w:p>
        </w:tc>
      </w:tr>
      <w:tr w:rsidR="00465222" w:rsidRPr="00A06EE2" w14:paraId="337BC850" w14:textId="77777777" w:rsidTr="002E12E4">
        <w:trPr>
          <w:cantSplit/>
          <w:trHeight w:val="850"/>
        </w:trPr>
        <w:tc>
          <w:tcPr>
            <w:tcW w:w="2260" w:type="dxa"/>
            <w:tcBorders>
              <w:top w:val="nil"/>
              <w:left w:val="nil"/>
              <w:bottom w:val="nil"/>
              <w:right w:val="nil"/>
            </w:tcBorders>
            <w:shd w:val="clear" w:color="auto" w:fill="auto"/>
            <w:vAlign w:val="bottom"/>
            <w:hideMark/>
          </w:tcPr>
          <w:p w14:paraId="25A9E8A6" w14:textId="77777777" w:rsidR="00465222" w:rsidRPr="00154F0F" w:rsidRDefault="00465222" w:rsidP="00DF3DF0">
            <w:pPr>
              <w:keepNext/>
              <w:spacing w:after="0" w:line="240" w:lineRule="auto"/>
              <w:rPr>
                <w:rFonts w:ascii="Arial" w:eastAsia="Times New Roman" w:hAnsi="Arial" w:cs="Arial"/>
                <w:color w:val="000000"/>
                <w:sz w:val="18"/>
                <w:szCs w:val="18"/>
                <w:lang w:eastAsia="en-AU"/>
              </w:rPr>
            </w:pPr>
          </w:p>
        </w:tc>
        <w:tc>
          <w:tcPr>
            <w:tcW w:w="960" w:type="dxa"/>
            <w:tcBorders>
              <w:top w:val="nil"/>
              <w:left w:val="nil"/>
              <w:bottom w:val="nil"/>
              <w:right w:val="nil"/>
            </w:tcBorders>
            <w:shd w:val="clear" w:color="auto" w:fill="auto"/>
            <w:vAlign w:val="bottom"/>
            <w:hideMark/>
          </w:tcPr>
          <w:p w14:paraId="024F000D"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Total fuel</w:t>
            </w:r>
          </w:p>
        </w:tc>
        <w:tc>
          <w:tcPr>
            <w:tcW w:w="1033" w:type="dxa"/>
            <w:tcBorders>
              <w:top w:val="nil"/>
              <w:left w:val="nil"/>
              <w:bottom w:val="nil"/>
              <w:right w:val="nil"/>
            </w:tcBorders>
            <w:shd w:val="clear" w:color="auto" w:fill="auto"/>
            <w:vAlign w:val="bottom"/>
            <w:hideMark/>
          </w:tcPr>
          <w:p w14:paraId="2BC19ABC"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High savings potential % rate</w:t>
            </w:r>
          </w:p>
        </w:tc>
        <w:tc>
          <w:tcPr>
            <w:tcW w:w="1134" w:type="dxa"/>
            <w:tcBorders>
              <w:top w:val="nil"/>
              <w:left w:val="nil"/>
              <w:bottom w:val="nil"/>
              <w:right w:val="nil"/>
            </w:tcBorders>
            <w:shd w:val="clear" w:color="auto" w:fill="auto"/>
            <w:vAlign w:val="bottom"/>
            <w:hideMark/>
          </w:tcPr>
          <w:p w14:paraId="3D59F7FD" w14:textId="31E02ABE"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Low savings potential (half) %</w:t>
            </w:r>
            <w:r w:rsidR="00154F0F">
              <w:rPr>
                <w:rFonts w:ascii="Arial" w:eastAsia="Times New Roman" w:hAnsi="Arial" w:cs="Arial"/>
                <w:b/>
                <w:bCs/>
                <w:sz w:val="16"/>
                <w:szCs w:val="16"/>
                <w:lang w:eastAsia="en-AU"/>
              </w:rPr>
              <w:t xml:space="preserve"> </w:t>
            </w:r>
            <w:r w:rsidRPr="00154F0F">
              <w:rPr>
                <w:rFonts w:ascii="Arial" w:eastAsia="Times New Roman" w:hAnsi="Arial" w:cs="Arial"/>
                <w:b/>
                <w:bCs/>
                <w:sz w:val="16"/>
                <w:szCs w:val="16"/>
                <w:lang w:eastAsia="en-AU"/>
              </w:rPr>
              <w:t>rate</w:t>
            </w:r>
          </w:p>
        </w:tc>
        <w:tc>
          <w:tcPr>
            <w:tcW w:w="1276" w:type="dxa"/>
            <w:tcBorders>
              <w:top w:val="nil"/>
              <w:left w:val="nil"/>
              <w:bottom w:val="nil"/>
              <w:right w:val="nil"/>
            </w:tcBorders>
            <w:shd w:val="clear" w:color="000000" w:fill="92D050"/>
            <w:vAlign w:val="bottom"/>
            <w:hideMark/>
          </w:tcPr>
          <w:p w14:paraId="3F8B7FA6"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High savings potential fuel savings</w:t>
            </w:r>
          </w:p>
        </w:tc>
        <w:tc>
          <w:tcPr>
            <w:tcW w:w="1559" w:type="dxa"/>
            <w:tcBorders>
              <w:top w:val="nil"/>
              <w:left w:val="nil"/>
              <w:bottom w:val="nil"/>
              <w:right w:val="nil"/>
            </w:tcBorders>
            <w:shd w:val="clear" w:color="000000" w:fill="8EA9DB"/>
            <w:vAlign w:val="bottom"/>
            <w:hideMark/>
          </w:tcPr>
          <w:p w14:paraId="65ACDBDE"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Low savings potential fuel savings</w:t>
            </w:r>
          </w:p>
        </w:tc>
      </w:tr>
      <w:tr w:rsidR="00465222" w:rsidRPr="00A06EE2" w14:paraId="67513805" w14:textId="77777777" w:rsidTr="002E12E4">
        <w:trPr>
          <w:cantSplit/>
          <w:trHeight w:val="300"/>
        </w:trPr>
        <w:tc>
          <w:tcPr>
            <w:tcW w:w="2260" w:type="dxa"/>
            <w:tcBorders>
              <w:top w:val="single" w:sz="4" w:space="0" w:color="auto"/>
              <w:left w:val="nil"/>
              <w:bottom w:val="nil"/>
              <w:right w:val="nil"/>
            </w:tcBorders>
            <w:shd w:val="clear" w:color="auto" w:fill="auto"/>
            <w:vAlign w:val="bottom"/>
            <w:hideMark/>
          </w:tcPr>
          <w:p w14:paraId="2EC077C9"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p>
        </w:tc>
        <w:tc>
          <w:tcPr>
            <w:tcW w:w="960" w:type="dxa"/>
            <w:tcBorders>
              <w:top w:val="single" w:sz="4" w:space="0" w:color="auto"/>
              <w:left w:val="nil"/>
              <w:bottom w:val="nil"/>
              <w:right w:val="nil"/>
            </w:tcBorders>
            <w:shd w:val="clear" w:color="auto" w:fill="auto"/>
            <w:noWrap/>
            <w:vAlign w:val="bottom"/>
            <w:hideMark/>
          </w:tcPr>
          <w:p w14:paraId="28C021E1"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megalitres</w:t>
            </w:r>
          </w:p>
        </w:tc>
        <w:tc>
          <w:tcPr>
            <w:tcW w:w="1033" w:type="dxa"/>
            <w:tcBorders>
              <w:top w:val="single" w:sz="4" w:space="0" w:color="auto"/>
              <w:left w:val="nil"/>
              <w:bottom w:val="nil"/>
              <w:right w:val="nil"/>
            </w:tcBorders>
            <w:shd w:val="clear" w:color="auto" w:fill="auto"/>
            <w:noWrap/>
            <w:vAlign w:val="bottom"/>
            <w:hideMark/>
          </w:tcPr>
          <w:p w14:paraId="6DE06FA1"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w:t>
            </w:r>
          </w:p>
        </w:tc>
        <w:tc>
          <w:tcPr>
            <w:tcW w:w="1134" w:type="dxa"/>
            <w:tcBorders>
              <w:top w:val="single" w:sz="4" w:space="0" w:color="auto"/>
              <w:left w:val="nil"/>
              <w:bottom w:val="nil"/>
              <w:right w:val="nil"/>
            </w:tcBorders>
            <w:shd w:val="clear" w:color="auto" w:fill="auto"/>
            <w:noWrap/>
            <w:vAlign w:val="bottom"/>
            <w:hideMark/>
          </w:tcPr>
          <w:p w14:paraId="56276AD9"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w:t>
            </w:r>
          </w:p>
        </w:tc>
        <w:tc>
          <w:tcPr>
            <w:tcW w:w="1276" w:type="dxa"/>
            <w:tcBorders>
              <w:top w:val="single" w:sz="4" w:space="0" w:color="auto"/>
              <w:left w:val="nil"/>
              <w:bottom w:val="nil"/>
              <w:right w:val="nil"/>
            </w:tcBorders>
            <w:shd w:val="clear" w:color="auto" w:fill="auto"/>
            <w:noWrap/>
            <w:vAlign w:val="bottom"/>
            <w:hideMark/>
          </w:tcPr>
          <w:p w14:paraId="413AEE4F"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megalitres</w:t>
            </w:r>
          </w:p>
        </w:tc>
        <w:tc>
          <w:tcPr>
            <w:tcW w:w="1559" w:type="dxa"/>
            <w:tcBorders>
              <w:top w:val="single" w:sz="4" w:space="0" w:color="auto"/>
              <w:left w:val="nil"/>
              <w:bottom w:val="nil"/>
              <w:right w:val="nil"/>
            </w:tcBorders>
            <w:shd w:val="clear" w:color="auto" w:fill="auto"/>
            <w:noWrap/>
            <w:vAlign w:val="bottom"/>
            <w:hideMark/>
          </w:tcPr>
          <w:p w14:paraId="0CD5209F"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megalitres</w:t>
            </w:r>
          </w:p>
        </w:tc>
      </w:tr>
      <w:tr w:rsidR="00465222" w:rsidRPr="00A06EE2" w14:paraId="6FEB872F" w14:textId="77777777" w:rsidTr="002E12E4">
        <w:trPr>
          <w:cantSplit/>
          <w:trHeight w:val="300"/>
        </w:trPr>
        <w:tc>
          <w:tcPr>
            <w:tcW w:w="2260" w:type="dxa"/>
            <w:tcBorders>
              <w:top w:val="nil"/>
              <w:left w:val="nil"/>
              <w:bottom w:val="nil"/>
              <w:right w:val="nil"/>
            </w:tcBorders>
            <w:shd w:val="clear" w:color="auto" w:fill="auto"/>
            <w:noWrap/>
            <w:vAlign w:val="bottom"/>
            <w:hideMark/>
          </w:tcPr>
          <w:p w14:paraId="31DF03DD" w14:textId="77777777" w:rsidR="00465222" w:rsidRPr="00154F0F" w:rsidRDefault="00465222" w:rsidP="00DF3DF0">
            <w:pPr>
              <w:keepNext/>
              <w:spacing w:after="0" w:line="240" w:lineRule="auto"/>
              <w:rPr>
                <w:rFonts w:ascii="Arial" w:eastAsia="Times New Roman" w:hAnsi="Arial" w:cs="Arial"/>
                <w:b/>
                <w:bCs/>
                <w:color w:val="000000"/>
                <w:sz w:val="16"/>
                <w:szCs w:val="16"/>
                <w:lang w:eastAsia="en-AU"/>
              </w:rPr>
            </w:pPr>
            <w:r w:rsidRPr="00154F0F">
              <w:rPr>
                <w:rFonts w:ascii="Arial" w:eastAsia="Times New Roman" w:hAnsi="Arial" w:cs="Arial"/>
                <w:b/>
                <w:bCs/>
                <w:color w:val="000000"/>
                <w:sz w:val="16"/>
                <w:szCs w:val="16"/>
                <w:lang w:eastAsia="en-AU"/>
              </w:rPr>
              <w:t>Australia</w:t>
            </w:r>
          </w:p>
        </w:tc>
        <w:tc>
          <w:tcPr>
            <w:tcW w:w="960" w:type="dxa"/>
            <w:tcBorders>
              <w:top w:val="nil"/>
              <w:left w:val="nil"/>
              <w:bottom w:val="nil"/>
              <w:right w:val="nil"/>
            </w:tcBorders>
            <w:shd w:val="clear" w:color="auto" w:fill="auto"/>
            <w:vAlign w:val="bottom"/>
            <w:hideMark/>
          </w:tcPr>
          <w:p w14:paraId="53A40C47" w14:textId="77777777" w:rsidR="00465222" w:rsidRPr="00154F0F" w:rsidRDefault="00465222" w:rsidP="00DF3DF0">
            <w:pPr>
              <w:keepNext/>
              <w:spacing w:after="0" w:line="240" w:lineRule="auto"/>
              <w:rPr>
                <w:rFonts w:ascii="Arial" w:eastAsia="Times New Roman" w:hAnsi="Arial" w:cs="Arial"/>
                <w:b/>
                <w:bCs/>
                <w:color w:val="000000"/>
                <w:sz w:val="16"/>
                <w:szCs w:val="16"/>
                <w:lang w:eastAsia="en-AU"/>
              </w:rPr>
            </w:pPr>
          </w:p>
        </w:tc>
        <w:tc>
          <w:tcPr>
            <w:tcW w:w="1033" w:type="dxa"/>
            <w:tcBorders>
              <w:top w:val="nil"/>
              <w:left w:val="nil"/>
              <w:bottom w:val="nil"/>
              <w:right w:val="nil"/>
            </w:tcBorders>
            <w:shd w:val="clear" w:color="auto" w:fill="auto"/>
            <w:noWrap/>
            <w:vAlign w:val="bottom"/>
            <w:hideMark/>
          </w:tcPr>
          <w:p w14:paraId="5777D536" w14:textId="77777777" w:rsidR="00465222" w:rsidRPr="00154F0F" w:rsidRDefault="00465222" w:rsidP="00DF3DF0">
            <w:pPr>
              <w:keepNext/>
              <w:spacing w:after="0" w:line="240" w:lineRule="auto"/>
              <w:jc w:val="right"/>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2B3B5528" w14:textId="77777777" w:rsidR="00465222" w:rsidRPr="00154F0F" w:rsidRDefault="00465222" w:rsidP="00DF3DF0">
            <w:pPr>
              <w:keepNext/>
              <w:spacing w:after="0" w:line="240" w:lineRule="auto"/>
              <w:rPr>
                <w:rFonts w:ascii="Times New Roman" w:eastAsia="Times New Roman" w:hAnsi="Times New Roman" w:cs="Times New Roman"/>
                <w:szCs w:val="20"/>
                <w:lang w:eastAsia="en-AU"/>
              </w:rPr>
            </w:pPr>
          </w:p>
        </w:tc>
        <w:tc>
          <w:tcPr>
            <w:tcW w:w="1276" w:type="dxa"/>
            <w:tcBorders>
              <w:top w:val="nil"/>
              <w:left w:val="nil"/>
              <w:bottom w:val="nil"/>
              <w:right w:val="nil"/>
            </w:tcBorders>
            <w:shd w:val="clear" w:color="auto" w:fill="auto"/>
            <w:noWrap/>
            <w:vAlign w:val="bottom"/>
            <w:hideMark/>
          </w:tcPr>
          <w:p w14:paraId="1E3E9F86" w14:textId="77777777" w:rsidR="00465222" w:rsidRPr="00154F0F" w:rsidRDefault="00465222" w:rsidP="00DF3DF0">
            <w:pPr>
              <w:keepNext/>
              <w:spacing w:after="0" w:line="240" w:lineRule="auto"/>
              <w:rPr>
                <w:rFonts w:ascii="Times New Roman" w:eastAsia="Times New Roman" w:hAnsi="Times New Roman" w:cs="Times New Roman"/>
                <w:szCs w:val="20"/>
                <w:lang w:eastAsia="en-AU"/>
              </w:rPr>
            </w:pPr>
          </w:p>
        </w:tc>
        <w:tc>
          <w:tcPr>
            <w:tcW w:w="1559" w:type="dxa"/>
            <w:tcBorders>
              <w:top w:val="nil"/>
              <w:left w:val="nil"/>
              <w:bottom w:val="nil"/>
              <w:right w:val="nil"/>
            </w:tcBorders>
            <w:shd w:val="clear" w:color="auto" w:fill="auto"/>
            <w:noWrap/>
            <w:vAlign w:val="bottom"/>
            <w:hideMark/>
          </w:tcPr>
          <w:p w14:paraId="637A8FCD" w14:textId="77777777" w:rsidR="00465222" w:rsidRPr="00154F0F" w:rsidRDefault="00465222" w:rsidP="00DF3DF0">
            <w:pPr>
              <w:keepNext/>
              <w:spacing w:after="0" w:line="240" w:lineRule="auto"/>
              <w:rPr>
                <w:rFonts w:ascii="Times New Roman" w:eastAsia="Times New Roman" w:hAnsi="Times New Roman" w:cs="Times New Roman"/>
                <w:szCs w:val="20"/>
                <w:lang w:eastAsia="en-AU"/>
              </w:rPr>
            </w:pPr>
          </w:p>
        </w:tc>
      </w:tr>
      <w:tr w:rsidR="00465222" w:rsidRPr="00A06EE2" w14:paraId="399A5CD8" w14:textId="77777777" w:rsidTr="002E12E4">
        <w:trPr>
          <w:cantSplit/>
          <w:trHeight w:val="300"/>
        </w:trPr>
        <w:tc>
          <w:tcPr>
            <w:tcW w:w="2260" w:type="dxa"/>
            <w:tcBorders>
              <w:top w:val="nil"/>
              <w:left w:val="nil"/>
              <w:bottom w:val="nil"/>
              <w:right w:val="nil"/>
            </w:tcBorders>
            <w:shd w:val="clear" w:color="auto" w:fill="auto"/>
            <w:noWrap/>
            <w:vAlign w:val="bottom"/>
            <w:hideMark/>
          </w:tcPr>
          <w:p w14:paraId="39ADFC80"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Passenger vehicles</w:t>
            </w:r>
          </w:p>
        </w:tc>
        <w:tc>
          <w:tcPr>
            <w:tcW w:w="960" w:type="dxa"/>
            <w:tcBorders>
              <w:top w:val="nil"/>
              <w:left w:val="nil"/>
              <w:bottom w:val="nil"/>
              <w:right w:val="nil"/>
            </w:tcBorders>
            <w:shd w:val="clear" w:color="auto" w:fill="auto"/>
            <w:vAlign w:val="bottom"/>
            <w:hideMark/>
          </w:tcPr>
          <w:p w14:paraId="62BCA007"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18,094 </w:t>
            </w:r>
          </w:p>
        </w:tc>
        <w:tc>
          <w:tcPr>
            <w:tcW w:w="1033" w:type="dxa"/>
            <w:tcBorders>
              <w:top w:val="nil"/>
              <w:left w:val="nil"/>
              <w:bottom w:val="nil"/>
              <w:right w:val="nil"/>
            </w:tcBorders>
            <w:shd w:val="clear" w:color="auto" w:fill="auto"/>
            <w:vAlign w:val="bottom"/>
            <w:hideMark/>
          </w:tcPr>
          <w:p w14:paraId="79540B19"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0.24</w:t>
            </w:r>
          </w:p>
        </w:tc>
        <w:tc>
          <w:tcPr>
            <w:tcW w:w="1134" w:type="dxa"/>
            <w:tcBorders>
              <w:top w:val="nil"/>
              <w:left w:val="nil"/>
              <w:bottom w:val="nil"/>
              <w:right w:val="nil"/>
            </w:tcBorders>
            <w:shd w:val="clear" w:color="auto" w:fill="auto"/>
            <w:vAlign w:val="bottom"/>
            <w:hideMark/>
          </w:tcPr>
          <w:p w14:paraId="283AC721"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0.12</w:t>
            </w:r>
          </w:p>
        </w:tc>
        <w:tc>
          <w:tcPr>
            <w:tcW w:w="1276" w:type="dxa"/>
            <w:tcBorders>
              <w:top w:val="nil"/>
              <w:left w:val="nil"/>
              <w:bottom w:val="nil"/>
              <w:right w:val="nil"/>
            </w:tcBorders>
            <w:shd w:val="clear" w:color="auto" w:fill="auto"/>
            <w:vAlign w:val="bottom"/>
            <w:hideMark/>
          </w:tcPr>
          <w:p w14:paraId="71F5F901"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43.43</w:t>
            </w:r>
          </w:p>
        </w:tc>
        <w:tc>
          <w:tcPr>
            <w:tcW w:w="1559" w:type="dxa"/>
            <w:tcBorders>
              <w:top w:val="nil"/>
              <w:left w:val="nil"/>
              <w:bottom w:val="nil"/>
              <w:right w:val="nil"/>
            </w:tcBorders>
            <w:shd w:val="clear" w:color="auto" w:fill="auto"/>
            <w:vAlign w:val="bottom"/>
            <w:hideMark/>
          </w:tcPr>
          <w:p w14:paraId="045E882A"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21.71</w:t>
            </w:r>
          </w:p>
        </w:tc>
      </w:tr>
      <w:tr w:rsidR="00465222" w:rsidRPr="00A06EE2" w14:paraId="05DA4C5A" w14:textId="77777777" w:rsidTr="002E12E4">
        <w:trPr>
          <w:cantSplit/>
          <w:trHeight w:val="300"/>
        </w:trPr>
        <w:tc>
          <w:tcPr>
            <w:tcW w:w="2260" w:type="dxa"/>
            <w:tcBorders>
              <w:top w:val="nil"/>
              <w:left w:val="nil"/>
              <w:bottom w:val="nil"/>
              <w:right w:val="nil"/>
            </w:tcBorders>
            <w:shd w:val="clear" w:color="auto" w:fill="auto"/>
            <w:noWrap/>
            <w:vAlign w:val="bottom"/>
            <w:hideMark/>
          </w:tcPr>
          <w:p w14:paraId="71E89D09"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Motor cycles</w:t>
            </w:r>
          </w:p>
        </w:tc>
        <w:tc>
          <w:tcPr>
            <w:tcW w:w="960" w:type="dxa"/>
            <w:tcBorders>
              <w:top w:val="nil"/>
              <w:left w:val="nil"/>
              <w:bottom w:val="nil"/>
              <w:right w:val="nil"/>
            </w:tcBorders>
            <w:shd w:val="clear" w:color="auto" w:fill="auto"/>
            <w:vAlign w:val="bottom"/>
            <w:hideMark/>
          </w:tcPr>
          <w:p w14:paraId="03DD68EB"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102 </w:t>
            </w:r>
          </w:p>
        </w:tc>
        <w:tc>
          <w:tcPr>
            <w:tcW w:w="1033" w:type="dxa"/>
            <w:tcBorders>
              <w:top w:val="nil"/>
              <w:left w:val="nil"/>
              <w:bottom w:val="nil"/>
              <w:right w:val="nil"/>
            </w:tcBorders>
            <w:shd w:val="clear" w:color="auto" w:fill="auto"/>
            <w:vAlign w:val="bottom"/>
            <w:hideMark/>
          </w:tcPr>
          <w:p w14:paraId="600EC295"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p>
        </w:tc>
        <w:tc>
          <w:tcPr>
            <w:tcW w:w="1134" w:type="dxa"/>
            <w:tcBorders>
              <w:top w:val="nil"/>
              <w:left w:val="nil"/>
              <w:bottom w:val="nil"/>
              <w:right w:val="nil"/>
            </w:tcBorders>
            <w:shd w:val="clear" w:color="auto" w:fill="auto"/>
            <w:vAlign w:val="bottom"/>
            <w:hideMark/>
          </w:tcPr>
          <w:p w14:paraId="314BA559"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0.00</w:t>
            </w:r>
          </w:p>
        </w:tc>
        <w:tc>
          <w:tcPr>
            <w:tcW w:w="1276" w:type="dxa"/>
            <w:tcBorders>
              <w:top w:val="nil"/>
              <w:left w:val="nil"/>
              <w:bottom w:val="nil"/>
              <w:right w:val="nil"/>
            </w:tcBorders>
            <w:shd w:val="clear" w:color="auto" w:fill="auto"/>
            <w:vAlign w:val="bottom"/>
            <w:hideMark/>
          </w:tcPr>
          <w:p w14:paraId="3E130B4B"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0.00</w:t>
            </w:r>
          </w:p>
        </w:tc>
        <w:tc>
          <w:tcPr>
            <w:tcW w:w="1559" w:type="dxa"/>
            <w:tcBorders>
              <w:top w:val="nil"/>
              <w:left w:val="nil"/>
              <w:bottom w:val="nil"/>
              <w:right w:val="nil"/>
            </w:tcBorders>
            <w:shd w:val="clear" w:color="auto" w:fill="auto"/>
            <w:vAlign w:val="bottom"/>
            <w:hideMark/>
          </w:tcPr>
          <w:p w14:paraId="7BA50C6B"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0.00</w:t>
            </w:r>
          </w:p>
        </w:tc>
      </w:tr>
      <w:tr w:rsidR="00465222" w:rsidRPr="00A06EE2" w14:paraId="63F80046" w14:textId="77777777" w:rsidTr="002E12E4">
        <w:trPr>
          <w:cantSplit/>
          <w:trHeight w:val="300"/>
        </w:trPr>
        <w:tc>
          <w:tcPr>
            <w:tcW w:w="2260" w:type="dxa"/>
            <w:tcBorders>
              <w:top w:val="nil"/>
              <w:left w:val="nil"/>
              <w:bottom w:val="nil"/>
              <w:right w:val="nil"/>
            </w:tcBorders>
            <w:shd w:val="clear" w:color="auto" w:fill="auto"/>
            <w:noWrap/>
            <w:vAlign w:val="bottom"/>
            <w:hideMark/>
          </w:tcPr>
          <w:p w14:paraId="22AFC654"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Light commercial vehicles</w:t>
            </w:r>
          </w:p>
        </w:tc>
        <w:tc>
          <w:tcPr>
            <w:tcW w:w="960" w:type="dxa"/>
            <w:tcBorders>
              <w:top w:val="nil"/>
              <w:left w:val="nil"/>
              <w:bottom w:val="nil"/>
              <w:right w:val="nil"/>
            </w:tcBorders>
            <w:shd w:val="clear" w:color="auto" w:fill="auto"/>
            <w:vAlign w:val="bottom"/>
            <w:hideMark/>
          </w:tcPr>
          <w:p w14:paraId="4C584FBE"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6,678 </w:t>
            </w:r>
          </w:p>
        </w:tc>
        <w:tc>
          <w:tcPr>
            <w:tcW w:w="1033" w:type="dxa"/>
            <w:tcBorders>
              <w:top w:val="nil"/>
              <w:left w:val="nil"/>
              <w:bottom w:val="nil"/>
              <w:right w:val="nil"/>
            </w:tcBorders>
            <w:shd w:val="clear" w:color="auto" w:fill="auto"/>
            <w:vAlign w:val="bottom"/>
            <w:hideMark/>
          </w:tcPr>
          <w:p w14:paraId="72F813F2"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0.24</w:t>
            </w:r>
          </w:p>
        </w:tc>
        <w:tc>
          <w:tcPr>
            <w:tcW w:w="1134" w:type="dxa"/>
            <w:tcBorders>
              <w:top w:val="nil"/>
              <w:left w:val="nil"/>
              <w:bottom w:val="nil"/>
              <w:right w:val="nil"/>
            </w:tcBorders>
            <w:shd w:val="clear" w:color="auto" w:fill="auto"/>
            <w:vAlign w:val="bottom"/>
            <w:hideMark/>
          </w:tcPr>
          <w:p w14:paraId="322228A5"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0.12</w:t>
            </w:r>
          </w:p>
        </w:tc>
        <w:tc>
          <w:tcPr>
            <w:tcW w:w="1276" w:type="dxa"/>
            <w:tcBorders>
              <w:top w:val="nil"/>
              <w:left w:val="nil"/>
              <w:bottom w:val="nil"/>
              <w:right w:val="nil"/>
            </w:tcBorders>
            <w:shd w:val="clear" w:color="auto" w:fill="auto"/>
            <w:vAlign w:val="bottom"/>
            <w:hideMark/>
          </w:tcPr>
          <w:p w14:paraId="637E13FC"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16.03</w:t>
            </w:r>
          </w:p>
        </w:tc>
        <w:tc>
          <w:tcPr>
            <w:tcW w:w="1559" w:type="dxa"/>
            <w:tcBorders>
              <w:top w:val="nil"/>
              <w:left w:val="nil"/>
              <w:bottom w:val="nil"/>
              <w:right w:val="nil"/>
            </w:tcBorders>
            <w:shd w:val="clear" w:color="auto" w:fill="auto"/>
            <w:vAlign w:val="bottom"/>
            <w:hideMark/>
          </w:tcPr>
          <w:p w14:paraId="76D1A6C6"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8.01</w:t>
            </w:r>
          </w:p>
        </w:tc>
      </w:tr>
      <w:tr w:rsidR="00465222" w:rsidRPr="00A06EE2" w14:paraId="5B03507A" w14:textId="77777777" w:rsidTr="002E12E4">
        <w:trPr>
          <w:cantSplit/>
          <w:trHeight w:val="300"/>
        </w:trPr>
        <w:tc>
          <w:tcPr>
            <w:tcW w:w="2260" w:type="dxa"/>
            <w:tcBorders>
              <w:top w:val="nil"/>
              <w:left w:val="nil"/>
              <w:bottom w:val="nil"/>
              <w:right w:val="nil"/>
            </w:tcBorders>
            <w:shd w:val="clear" w:color="auto" w:fill="auto"/>
            <w:noWrap/>
            <w:vAlign w:val="bottom"/>
            <w:hideMark/>
          </w:tcPr>
          <w:p w14:paraId="3C2F717F"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Rigid trucks</w:t>
            </w:r>
          </w:p>
        </w:tc>
        <w:tc>
          <w:tcPr>
            <w:tcW w:w="960" w:type="dxa"/>
            <w:tcBorders>
              <w:top w:val="nil"/>
              <w:left w:val="nil"/>
              <w:bottom w:val="nil"/>
              <w:right w:val="nil"/>
            </w:tcBorders>
            <w:shd w:val="clear" w:color="auto" w:fill="auto"/>
            <w:vAlign w:val="bottom"/>
            <w:hideMark/>
          </w:tcPr>
          <w:p w14:paraId="0321D67A"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3,138 </w:t>
            </w:r>
          </w:p>
        </w:tc>
        <w:tc>
          <w:tcPr>
            <w:tcW w:w="1033" w:type="dxa"/>
            <w:tcBorders>
              <w:top w:val="nil"/>
              <w:left w:val="nil"/>
              <w:bottom w:val="nil"/>
              <w:right w:val="nil"/>
            </w:tcBorders>
            <w:shd w:val="clear" w:color="auto" w:fill="auto"/>
            <w:vAlign w:val="bottom"/>
            <w:hideMark/>
          </w:tcPr>
          <w:p w14:paraId="442DC8C8"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0.25</w:t>
            </w:r>
          </w:p>
        </w:tc>
        <w:tc>
          <w:tcPr>
            <w:tcW w:w="1134" w:type="dxa"/>
            <w:tcBorders>
              <w:top w:val="nil"/>
              <w:left w:val="nil"/>
              <w:bottom w:val="nil"/>
              <w:right w:val="nil"/>
            </w:tcBorders>
            <w:shd w:val="clear" w:color="auto" w:fill="auto"/>
            <w:vAlign w:val="bottom"/>
            <w:hideMark/>
          </w:tcPr>
          <w:p w14:paraId="2B7C7EEC"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0.13</w:t>
            </w:r>
          </w:p>
        </w:tc>
        <w:tc>
          <w:tcPr>
            <w:tcW w:w="1276" w:type="dxa"/>
            <w:tcBorders>
              <w:top w:val="nil"/>
              <w:left w:val="nil"/>
              <w:bottom w:val="nil"/>
              <w:right w:val="nil"/>
            </w:tcBorders>
            <w:shd w:val="clear" w:color="auto" w:fill="auto"/>
            <w:vAlign w:val="bottom"/>
            <w:hideMark/>
          </w:tcPr>
          <w:p w14:paraId="621DDB2E"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7.94</w:t>
            </w:r>
          </w:p>
        </w:tc>
        <w:tc>
          <w:tcPr>
            <w:tcW w:w="1559" w:type="dxa"/>
            <w:tcBorders>
              <w:top w:val="nil"/>
              <w:left w:val="nil"/>
              <w:bottom w:val="nil"/>
              <w:right w:val="nil"/>
            </w:tcBorders>
            <w:shd w:val="clear" w:color="auto" w:fill="auto"/>
            <w:vAlign w:val="bottom"/>
            <w:hideMark/>
          </w:tcPr>
          <w:p w14:paraId="2E6E5D70"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3.97</w:t>
            </w:r>
          </w:p>
        </w:tc>
      </w:tr>
      <w:tr w:rsidR="00465222" w:rsidRPr="00A06EE2" w14:paraId="68CBCF3D" w14:textId="77777777" w:rsidTr="002E12E4">
        <w:trPr>
          <w:cantSplit/>
          <w:trHeight w:val="300"/>
        </w:trPr>
        <w:tc>
          <w:tcPr>
            <w:tcW w:w="2260" w:type="dxa"/>
            <w:tcBorders>
              <w:top w:val="nil"/>
              <w:left w:val="nil"/>
              <w:bottom w:val="nil"/>
              <w:right w:val="nil"/>
            </w:tcBorders>
            <w:shd w:val="clear" w:color="auto" w:fill="auto"/>
            <w:noWrap/>
            <w:vAlign w:val="bottom"/>
            <w:hideMark/>
          </w:tcPr>
          <w:p w14:paraId="29333A67"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Articulated trucks</w:t>
            </w:r>
          </w:p>
        </w:tc>
        <w:tc>
          <w:tcPr>
            <w:tcW w:w="960" w:type="dxa"/>
            <w:tcBorders>
              <w:top w:val="nil"/>
              <w:left w:val="nil"/>
              <w:bottom w:val="nil"/>
              <w:right w:val="nil"/>
            </w:tcBorders>
            <w:shd w:val="clear" w:color="auto" w:fill="auto"/>
            <w:vAlign w:val="bottom"/>
            <w:hideMark/>
          </w:tcPr>
          <w:p w14:paraId="2D545258"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4,342 </w:t>
            </w:r>
          </w:p>
        </w:tc>
        <w:tc>
          <w:tcPr>
            <w:tcW w:w="1033" w:type="dxa"/>
            <w:tcBorders>
              <w:top w:val="nil"/>
              <w:left w:val="nil"/>
              <w:bottom w:val="nil"/>
              <w:right w:val="nil"/>
            </w:tcBorders>
            <w:shd w:val="clear" w:color="auto" w:fill="auto"/>
            <w:vAlign w:val="bottom"/>
            <w:hideMark/>
          </w:tcPr>
          <w:p w14:paraId="16E7B40A"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0.38</w:t>
            </w:r>
          </w:p>
        </w:tc>
        <w:tc>
          <w:tcPr>
            <w:tcW w:w="1134" w:type="dxa"/>
            <w:tcBorders>
              <w:top w:val="nil"/>
              <w:left w:val="nil"/>
              <w:bottom w:val="nil"/>
              <w:right w:val="nil"/>
            </w:tcBorders>
            <w:shd w:val="clear" w:color="auto" w:fill="auto"/>
            <w:vAlign w:val="bottom"/>
            <w:hideMark/>
          </w:tcPr>
          <w:p w14:paraId="51F2B4B4"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0.19</w:t>
            </w:r>
          </w:p>
        </w:tc>
        <w:tc>
          <w:tcPr>
            <w:tcW w:w="1276" w:type="dxa"/>
            <w:tcBorders>
              <w:top w:val="nil"/>
              <w:left w:val="nil"/>
              <w:bottom w:val="nil"/>
              <w:right w:val="nil"/>
            </w:tcBorders>
            <w:shd w:val="clear" w:color="auto" w:fill="auto"/>
            <w:vAlign w:val="bottom"/>
            <w:hideMark/>
          </w:tcPr>
          <w:p w14:paraId="670B4BC2"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16.63</w:t>
            </w:r>
          </w:p>
        </w:tc>
        <w:tc>
          <w:tcPr>
            <w:tcW w:w="1559" w:type="dxa"/>
            <w:tcBorders>
              <w:top w:val="nil"/>
              <w:left w:val="nil"/>
              <w:bottom w:val="nil"/>
              <w:right w:val="nil"/>
            </w:tcBorders>
            <w:shd w:val="clear" w:color="auto" w:fill="auto"/>
            <w:vAlign w:val="bottom"/>
            <w:hideMark/>
          </w:tcPr>
          <w:p w14:paraId="376640AC"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8.31</w:t>
            </w:r>
          </w:p>
        </w:tc>
      </w:tr>
      <w:tr w:rsidR="00465222" w:rsidRPr="00A06EE2" w14:paraId="01807E6B" w14:textId="77777777" w:rsidTr="002E12E4">
        <w:trPr>
          <w:cantSplit/>
          <w:trHeight w:val="300"/>
        </w:trPr>
        <w:tc>
          <w:tcPr>
            <w:tcW w:w="2260" w:type="dxa"/>
            <w:tcBorders>
              <w:top w:val="nil"/>
              <w:left w:val="nil"/>
              <w:bottom w:val="nil"/>
              <w:right w:val="nil"/>
            </w:tcBorders>
            <w:shd w:val="clear" w:color="auto" w:fill="auto"/>
            <w:noWrap/>
            <w:vAlign w:val="bottom"/>
            <w:hideMark/>
          </w:tcPr>
          <w:p w14:paraId="6DDA3F4F"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Non-freight carrying trucks</w:t>
            </w:r>
          </w:p>
        </w:tc>
        <w:tc>
          <w:tcPr>
            <w:tcW w:w="960" w:type="dxa"/>
            <w:tcBorders>
              <w:top w:val="nil"/>
              <w:left w:val="nil"/>
              <w:bottom w:val="nil"/>
              <w:right w:val="nil"/>
            </w:tcBorders>
            <w:shd w:val="clear" w:color="auto" w:fill="auto"/>
            <w:vAlign w:val="bottom"/>
            <w:hideMark/>
          </w:tcPr>
          <w:p w14:paraId="68BBA5F8"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75 </w:t>
            </w:r>
          </w:p>
        </w:tc>
        <w:tc>
          <w:tcPr>
            <w:tcW w:w="1033" w:type="dxa"/>
            <w:tcBorders>
              <w:top w:val="nil"/>
              <w:left w:val="nil"/>
              <w:bottom w:val="nil"/>
              <w:right w:val="nil"/>
            </w:tcBorders>
            <w:shd w:val="clear" w:color="auto" w:fill="auto"/>
            <w:vAlign w:val="bottom"/>
            <w:hideMark/>
          </w:tcPr>
          <w:p w14:paraId="01DB0712"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0.32</w:t>
            </w:r>
          </w:p>
        </w:tc>
        <w:tc>
          <w:tcPr>
            <w:tcW w:w="1134" w:type="dxa"/>
            <w:tcBorders>
              <w:top w:val="nil"/>
              <w:left w:val="nil"/>
              <w:bottom w:val="nil"/>
              <w:right w:val="nil"/>
            </w:tcBorders>
            <w:shd w:val="clear" w:color="auto" w:fill="auto"/>
            <w:vAlign w:val="bottom"/>
            <w:hideMark/>
          </w:tcPr>
          <w:p w14:paraId="4AAAE733"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0.16</w:t>
            </w:r>
          </w:p>
        </w:tc>
        <w:tc>
          <w:tcPr>
            <w:tcW w:w="1276" w:type="dxa"/>
            <w:tcBorders>
              <w:top w:val="nil"/>
              <w:left w:val="nil"/>
              <w:bottom w:val="nil"/>
              <w:right w:val="nil"/>
            </w:tcBorders>
            <w:shd w:val="clear" w:color="auto" w:fill="auto"/>
            <w:vAlign w:val="bottom"/>
            <w:hideMark/>
          </w:tcPr>
          <w:p w14:paraId="19746912"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0.24</w:t>
            </w:r>
          </w:p>
        </w:tc>
        <w:tc>
          <w:tcPr>
            <w:tcW w:w="1559" w:type="dxa"/>
            <w:tcBorders>
              <w:top w:val="nil"/>
              <w:left w:val="nil"/>
              <w:bottom w:val="nil"/>
              <w:right w:val="nil"/>
            </w:tcBorders>
            <w:shd w:val="clear" w:color="auto" w:fill="auto"/>
            <w:vAlign w:val="bottom"/>
            <w:hideMark/>
          </w:tcPr>
          <w:p w14:paraId="21EFA458"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0.12</w:t>
            </w:r>
          </w:p>
        </w:tc>
      </w:tr>
      <w:tr w:rsidR="00465222" w:rsidRPr="00A06EE2" w14:paraId="5428B123" w14:textId="77777777" w:rsidTr="002E12E4">
        <w:trPr>
          <w:cantSplit/>
          <w:trHeight w:val="300"/>
        </w:trPr>
        <w:tc>
          <w:tcPr>
            <w:tcW w:w="2260" w:type="dxa"/>
            <w:tcBorders>
              <w:top w:val="nil"/>
              <w:left w:val="nil"/>
              <w:bottom w:val="nil"/>
              <w:right w:val="nil"/>
            </w:tcBorders>
            <w:shd w:val="clear" w:color="auto" w:fill="auto"/>
            <w:noWrap/>
            <w:vAlign w:val="bottom"/>
            <w:hideMark/>
          </w:tcPr>
          <w:p w14:paraId="397E760F" w14:textId="77777777" w:rsidR="00465222" w:rsidRPr="00154F0F" w:rsidRDefault="00465222" w:rsidP="00DF3DF0">
            <w:pPr>
              <w:keepNext/>
              <w:spacing w:after="0" w:line="240" w:lineRule="auto"/>
              <w:ind w:firstLineChars="100" w:firstLine="160"/>
              <w:rPr>
                <w:rFonts w:ascii="Arial" w:eastAsia="Times New Roman" w:hAnsi="Arial" w:cs="Arial"/>
                <w:sz w:val="16"/>
                <w:szCs w:val="16"/>
                <w:lang w:eastAsia="en-AU"/>
              </w:rPr>
            </w:pPr>
            <w:r w:rsidRPr="00154F0F">
              <w:rPr>
                <w:rFonts w:ascii="Arial" w:eastAsia="Times New Roman" w:hAnsi="Arial" w:cs="Arial"/>
                <w:sz w:val="16"/>
                <w:szCs w:val="16"/>
                <w:lang w:eastAsia="en-AU"/>
              </w:rPr>
              <w:t>Buses</w:t>
            </w:r>
          </w:p>
        </w:tc>
        <w:tc>
          <w:tcPr>
            <w:tcW w:w="960" w:type="dxa"/>
            <w:tcBorders>
              <w:top w:val="nil"/>
              <w:left w:val="nil"/>
              <w:bottom w:val="nil"/>
              <w:right w:val="nil"/>
            </w:tcBorders>
            <w:shd w:val="clear" w:color="auto" w:fill="auto"/>
            <w:vAlign w:val="bottom"/>
            <w:hideMark/>
          </w:tcPr>
          <w:p w14:paraId="4383F737"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 xml:space="preserve">            591 </w:t>
            </w:r>
          </w:p>
        </w:tc>
        <w:tc>
          <w:tcPr>
            <w:tcW w:w="1033" w:type="dxa"/>
            <w:tcBorders>
              <w:top w:val="nil"/>
              <w:left w:val="nil"/>
              <w:bottom w:val="nil"/>
              <w:right w:val="nil"/>
            </w:tcBorders>
            <w:shd w:val="clear" w:color="auto" w:fill="auto"/>
            <w:vAlign w:val="bottom"/>
            <w:hideMark/>
          </w:tcPr>
          <w:p w14:paraId="38AFCF26"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0.19</w:t>
            </w:r>
          </w:p>
        </w:tc>
        <w:tc>
          <w:tcPr>
            <w:tcW w:w="1134" w:type="dxa"/>
            <w:tcBorders>
              <w:top w:val="nil"/>
              <w:left w:val="nil"/>
              <w:bottom w:val="nil"/>
              <w:right w:val="nil"/>
            </w:tcBorders>
            <w:shd w:val="clear" w:color="auto" w:fill="auto"/>
            <w:vAlign w:val="bottom"/>
            <w:hideMark/>
          </w:tcPr>
          <w:p w14:paraId="4BAABA4C"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0.09</w:t>
            </w:r>
          </w:p>
        </w:tc>
        <w:tc>
          <w:tcPr>
            <w:tcW w:w="1276" w:type="dxa"/>
            <w:tcBorders>
              <w:top w:val="nil"/>
              <w:left w:val="nil"/>
              <w:bottom w:val="nil"/>
              <w:right w:val="nil"/>
            </w:tcBorders>
            <w:shd w:val="clear" w:color="auto" w:fill="auto"/>
            <w:vAlign w:val="bottom"/>
            <w:hideMark/>
          </w:tcPr>
          <w:p w14:paraId="6FB9D91D"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1.09</w:t>
            </w:r>
          </w:p>
        </w:tc>
        <w:tc>
          <w:tcPr>
            <w:tcW w:w="1559" w:type="dxa"/>
            <w:tcBorders>
              <w:top w:val="nil"/>
              <w:left w:val="nil"/>
              <w:bottom w:val="nil"/>
              <w:right w:val="nil"/>
            </w:tcBorders>
            <w:shd w:val="clear" w:color="auto" w:fill="auto"/>
            <w:vAlign w:val="bottom"/>
            <w:hideMark/>
          </w:tcPr>
          <w:p w14:paraId="47CB0FC4" w14:textId="77777777" w:rsidR="00465222" w:rsidRPr="00154F0F" w:rsidRDefault="00465222" w:rsidP="00DF3DF0">
            <w:pPr>
              <w:keepNext/>
              <w:spacing w:after="0" w:line="240" w:lineRule="auto"/>
              <w:jc w:val="right"/>
              <w:rPr>
                <w:rFonts w:ascii="Arial" w:eastAsia="Times New Roman" w:hAnsi="Arial" w:cs="Arial"/>
                <w:sz w:val="16"/>
                <w:szCs w:val="16"/>
                <w:lang w:eastAsia="en-AU"/>
              </w:rPr>
            </w:pPr>
            <w:r w:rsidRPr="00154F0F">
              <w:rPr>
                <w:rFonts w:ascii="Arial" w:eastAsia="Times New Roman" w:hAnsi="Arial" w:cs="Arial"/>
                <w:sz w:val="16"/>
                <w:szCs w:val="16"/>
                <w:lang w:eastAsia="en-AU"/>
              </w:rPr>
              <w:t>0.55</w:t>
            </w:r>
          </w:p>
        </w:tc>
      </w:tr>
      <w:tr w:rsidR="00465222" w:rsidRPr="00A06EE2" w14:paraId="754E07F8" w14:textId="77777777" w:rsidTr="002E12E4">
        <w:trPr>
          <w:cantSplit/>
          <w:trHeight w:val="300"/>
        </w:trPr>
        <w:tc>
          <w:tcPr>
            <w:tcW w:w="2260" w:type="dxa"/>
            <w:tcBorders>
              <w:top w:val="nil"/>
              <w:left w:val="nil"/>
              <w:bottom w:val="nil"/>
              <w:right w:val="nil"/>
            </w:tcBorders>
            <w:shd w:val="clear" w:color="auto" w:fill="auto"/>
            <w:noWrap/>
            <w:vAlign w:val="bottom"/>
            <w:hideMark/>
          </w:tcPr>
          <w:p w14:paraId="38206AE0" w14:textId="77777777" w:rsidR="00465222" w:rsidRPr="00154F0F" w:rsidRDefault="00465222" w:rsidP="00DF3DF0">
            <w:pPr>
              <w:keepNext/>
              <w:spacing w:after="0" w:line="240" w:lineRule="auto"/>
              <w:ind w:firstLineChars="100" w:firstLine="161"/>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Total</w:t>
            </w:r>
          </w:p>
        </w:tc>
        <w:tc>
          <w:tcPr>
            <w:tcW w:w="960" w:type="dxa"/>
            <w:tcBorders>
              <w:top w:val="nil"/>
              <w:left w:val="nil"/>
              <w:bottom w:val="nil"/>
              <w:right w:val="nil"/>
            </w:tcBorders>
            <w:shd w:val="clear" w:color="auto" w:fill="auto"/>
            <w:vAlign w:val="bottom"/>
            <w:hideMark/>
          </w:tcPr>
          <w:p w14:paraId="4EB0E113"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 xml:space="preserve">       33,019 </w:t>
            </w:r>
          </w:p>
        </w:tc>
        <w:tc>
          <w:tcPr>
            <w:tcW w:w="1033" w:type="dxa"/>
            <w:tcBorders>
              <w:top w:val="nil"/>
              <w:left w:val="nil"/>
              <w:bottom w:val="nil"/>
              <w:right w:val="nil"/>
            </w:tcBorders>
            <w:shd w:val="clear" w:color="auto" w:fill="auto"/>
            <w:vAlign w:val="bottom"/>
            <w:hideMark/>
          </w:tcPr>
          <w:p w14:paraId="72B77D9A" w14:textId="77777777" w:rsidR="00465222" w:rsidRPr="00154F0F" w:rsidRDefault="00465222" w:rsidP="00DF3DF0">
            <w:pPr>
              <w:keepNext/>
              <w:spacing w:after="0" w:line="240" w:lineRule="auto"/>
              <w:jc w:val="right"/>
              <w:rPr>
                <w:rFonts w:ascii="Arial" w:eastAsia="Times New Roman" w:hAnsi="Arial" w:cs="Arial"/>
                <w:b/>
                <w:bCs/>
                <w:sz w:val="16"/>
                <w:szCs w:val="16"/>
                <w:lang w:eastAsia="en-AU"/>
              </w:rPr>
            </w:pPr>
          </w:p>
        </w:tc>
        <w:tc>
          <w:tcPr>
            <w:tcW w:w="1134" w:type="dxa"/>
            <w:tcBorders>
              <w:top w:val="nil"/>
              <w:left w:val="nil"/>
              <w:bottom w:val="nil"/>
              <w:right w:val="nil"/>
            </w:tcBorders>
            <w:shd w:val="clear" w:color="auto" w:fill="auto"/>
            <w:vAlign w:val="bottom"/>
            <w:hideMark/>
          </w:tcPr>
          <w:p w14:paraId="045A65C6" w14:textId="77777777" w:rsidR="00465222" w:rsidRPr="00154F0F" w:rsidRDefault="00465222" w:rsidP="00DF3DF0">
            <w:pPr>
              <w:keepNext/>
              <w:spacing w:after="0" w:line="240" w:lineRule="auto"/>
              <w:jc w:val="right"/>
              <w:rPr>
                <w:rFonts w:ascii="Times New Roman" w:eastAsia="Times New Roman" w:hAnsi="Times New Roman" w:cs="Times New Roman"/>
                <w:szCs w:val="20"/>
                <w:lang w:eastAsia="en-AU"/>
              </w:rPr>
            </w:pPr>
          </w:p>
        </w:tc>
        <w:tc>
          <w:tcPr>
            <w:tcW w:w="1276" w:type="dxa"/>
            <w:tcBorders>
              <w:top w:val="nil"/>
              <w:left w:val="nil"/>
              <w:bottom w:val="nil"/>
              <w:right w:val="nil"/>
            </w:tcBorders>
            <w:shd w:val="clear" w:color="000000" w:fill="92D050"/>
            <w:vAlign w:val="bottom"/>
            <w:hideMark/>
          </w:tcPr>
          <w:p w14:paraId="1AFF14E7" w14:textId="3C704467"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 xml:space="preserve">85.36 </w:t>
            </w:r>
          </w:p>
        </w:tc>
        <w:tc>
          <w:tcPr>
            <w:tcW w:w="1559" w:type="dxa"/>
            <w:tcBorders>
              <w:top w:val="nil"/>
              <w:left w:val="nil"/>
              <w:bottom w:val="nil"/>
              <w:right w:val="nil"/>
            </w:tcBorders>
            <w:shd w:val="clear" w:color="000000" w:fill="8EA9DB"/>
            <w:vAlign w:val="bottom"/>
            <w:hideMark/>
          </w:tcPr>
          <w:p w14:paraId="46D1AFB2" w14:textId="39FCFCA9" w:rsidR="00465222" w:rsidRPr="00154F0F" w:rsidRDefault="00465222" w:rsidP="00DF3DF0">
            <w:pPr>
              <w:keepNext/>
              <w:spacing w:after="0" w:line="240" w:lineRule="auto"/>
              <w:jc w:val="right"/>
              <w:rPr>
                <w:rFonts w:ascii="Arial" w:eastAsia="Times New Roman" w:hAnsi="Arial" w:cs="Arial"/>
                <w:b/>
                <w:bCs/>
                <w:sz w:val="16"/>
                <w:szCs w:val="16"/>
                <w:lang w:eastAsia="en-AU"/>
              </w:rPr>
            </w:pPr>
            <w:r w:rsidRPr="00154F0F">
              <w:rPr>
                <w:rFonts w:ascii="Arial" w:eastAsia="Times New Roman" w:hAnsi="Arial" w:cs="Arial"/>
                <w:b/>
                <w:bCs/>
                <w:sz w:val="16"/>
                <w:szCs w:val="16"/>
                <w:lang w:eastAsia="en-AU"/>
              </w:rPr>
              <w:t xml:space="preserve">42.68 </w:t>
            </w:r>
          </w:p>
        </w:tc>
      </w:tr>
    </w:tbl>
    <w:p w14:paraId="58DD05BE" w14:textId="39759FAF" w:rsidR="00465222" w:rsidRDefault="00465222" w:rsidP="00465222">
      <w:pPr>
        <w:spacing w:before="120" w:after="120" w:line="240" w:lineRule="auto"/>
        <w:textAlignment w:val="center"/>
        <w:rPr>
          <w:rFonts w:cs="Calibri"/>
        </w:rPr>
      </w:pPr>
      <w:r>
        <w:rPr>
          <w:rFonts w:cs="Calibri"/>
        </w:rPr>
        <w:fldChar w:fldCharType="end"/>
      </w:r>
      <w:r>
        <w:rPr>
          <w:rFonts w:cs="Calibri"/>
        </w:rPr>
        <w:t>Figure 1 – Fuel use potential savings. Figures based on EU study (refer footnote 3, p.2) estimated percentage savings rate with TPMS fitment, as applied to the last available Australian Bureau of Statistics Survey of Motor Vehicle Use figures for Australia – 2020.</w:t>
      </w:r>
    </w:p>
    <w:p w14:paraId="02928FF5" w14:textId="77777777" w:rsidR="00154F0F" w:rsidRDefault="00154F0F" w:rsidP="00465222">
      <w:pPr>
        <w:spacing w:before="120" w:after="120" w:line="240" w:lineRule="auto"/>
        <w:textAlignment w:val="center"/>
        <w:rPr>
          <w:rFonts w:cs="Calibri"/>
        </w:rPr>
      </w:pPr>
    </w:p>
    <w:p w14:paraId="323233AC" w14:textId="1F4995C0" w:rsidR="00465222" w:rsidRPr="00311DA8" w:rsidRDefault="00465222" w:rsidP="00465222">
      <w:pPr>
        <w:spacing w:line="259" w:lineRule="auto"/>
        <w:rPr>
          <w:rFonts w:cs="Calibri"/>
          <w:b/>
        </w:rPr>
      </w:pPr>
      <w:r w:rsidRPr="00311DA8">
        <w:rPr>
          <w:rFonts w:cs="Calibri"/>
          <w:b/>
        </w:rPr>
        <w:t>Annual CO</w:t>
      </w:r>
      <w:r w:rsidRPr="00311DA8">
        <w:rPr>
          <w:rFonts w:cs="Calibri"/>
          <w:b/>
          <w:vertAlign w:val="subscript"/>
        </w:rPr>
        <w:t>2</w:t>
      </w:r>
      <w:r w:rsidRPr="00311DA8">
        <w:rPr>
          <w:rFonts w:cs="Calibri"/>
          <w:b/>
        </w:rPr>
        <w:t xml:space="preserve"> emissions savings potential</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26"/>
        <w:gridCol w:w="1080"/>
        <w:gridCol w:w="1513"/>
        <w:gridCol w:w="1129"/>
        <w:gridCol w:w="1786"/>
        <w:gridCol w:w="1672"/>
      </w:tblGrid>
      <w:tr w:rsidR="00465222" w:rsidRPr="007A370F" w14:paraId="2289D850" w14:textId="77777777" w:rsidTr="0000718B">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52BAB"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Vehicle type</w:t>
            </w:r>
          </w:p>
        </w:tc>
        <w:tc>
          <w:tcPr>
            <w:tcW w:w="11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992553" w14:textId="3C665175" w:rsidR="00465222" w:rsidRPr="007A370F" w:rsidRDefault="00B25C8D" w:rsidP="0000718B">
            <w:pPr>
              <w:spacing w:after="0" w:line="240" w:lineRule="auto"/>
              <w:rPr>
                <w:rFonts w:eastAsia="Times New Roman" w:cs="Calibri"/>
                <w:lang w:eastAsia="en-AU"/>
              </w:rPr>
            </w:pPr>
            <w:r>
              <w:rPr>
                <w:rFonts w:eastAsia="Times New Roman" w:cs="Calibri"/>
                <w:lang w:eastAsia="en-AU"/>
              </w:rPr>
              <w:t>%</w:t>
            </w:r>
            <w:r w:rsidR="00465222" w:rsidRPr="007A370F">
              <w:rPr>
                <w:rFonts w:eastAsia="Times New Roman" w:cs="Calibri"/>
                <w:lang w:eastAsia="en-AU"/>
              </w:rPr>
              <w:t xml:space="preserve"> of total</w:t>
            </w:r>
          </w:p>
        </w:tc>
        <w:tc>
          <w:tcPr>
            <w:tcW w:w="15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39B1B4" w14:textId="77777777" w:rsidR="00465222" w:rsidRPr="007A370F" w:rsidRDefault="00465222" w:rsidP="0000718B">
            <w:pPr>
              <w:spacing w:after="0" w:line="240" w:lineRule="auto"/>
              <w:rPr>
                <w:rFonts w:eastAsia="Times New Roman" w:cs="Calibri"/>
                <w:lang w:eastAsia="en-AU"/>
              </w:rPr>
            </w:pPr>
            <w:r>
              <w:rPr>
                <w:rFonts w:eastAsia="Times New Roman" w:cs="Calibri"/>
                <w:lang w:eastAsia="en-AU"/>
              </w:rPr>
              <w:t>CO</w:t>
            </w:r>
            <w:r w:rsidRPr="007A370F">
              <w:rPr>
                <w:rFonts w:eastAsia="Times New Roman" w:cs="Calibri"/>
                <w:vertAlign w:val="subscript"/>
                <w:lang w:eastAsia="en-AU"/>
              </w:rPr>
              <w:t>2</w:t>
            </w:r>
            <w:r>
              <w:rPr>
                <w:rFonts w:eastAsia="Times New Roman" w:cs="Calibri"/>
                <w:lang w:eastAsia="en-AU"/>
              </w:rPr>
              <w:t xml:space="preserve"> </w:t>
            </w:r>
            <w:r w:rsidRPr="007A370F">
              <w:rPr>
                <w:rFonts w:eastAsia="Times New Roman" w:cs="Calibri"/>
                <w:lang w:eastAsia="en-AU"/>
              </w:rPr>
              <w:t>Emissions</w:t>
            </w:r>
            <w:r w:rsidRPr="007A370F">
              <w:rPr>
                <w:rFonts w:eastAsia="Times New Roman" w:cs="Calibri"/>
                <w:lang w:eastAsia="en-AU"/>
              </w:rPr>
              <w:br/>
              <w:t>in tonnes</w:t>
            </w:r>
          </w:p>
        </w:tc>
        <w:tc>
          <w:tcPr>
            <w:tcW w:w="11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6303FB" w14:textId="05B3936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Avg. saving</w:t>
            </w:r>
            <w:r w:rsidRPr="007A370F">
              <w:rPr>
                <w:rFonts w:eastAsia="Times New Roman" w:cs="Calibri"/>
                <w:lang w:eastAsia="en-AU"/>
              </w:rPr>
              <w:br/>
              <w:t>(high)</w:t>
            </w:r>
            <w:r>
              <w:rPr>
                <w:rFonts w:eastAsia="Times New Roman" w:cs="Calibri"/>
                <w:lang w:eastAsia="en-AU"/>
              </w:rPr>
              <w:t> </w:t>
            </w:r>
            <w:r w:rsidR="00B25C8D">
              <w:rPr>
                <w:rFonts w:eastAsia="Times New Roman" w:cs="Calibri"/>
                <w:lang w:eastAsia="en-AU"/>
              </w:rPr>
              <w:t>%</w:t>
            </w:r>
          </w:p>
        </w:tc>
        <w:tc>
          <w:tcPr>
            <w:tcW w:w="19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9C99DC"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High savings</w:t>
            </w:r>
            <w:r w:rsidRPr="007A370F">
              <w:rPr>
                <w:rFonts w:eastAsia="Times New Roman" w:cs="Calibri"/>
                <w:lang w:eastAsia="en-AU"/>
              </w:rPr>
              <w:br/>
              <w:t>potential (tonnes)</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7796A"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Low savings</w:t>
            </w:r>
            <w:r w:rsidRPr="007A370F">
              <w:rPr>
                <w:rFonts w:eastAsia="Times New Roman" w:cs="Calibri"/>
                <w:lang w:eastAsia="en-AU"/>
              </w:rPr>
              <w:br/>
              <w:t>potential (tonnes)</w:t>
            </w:r>
          </w:p>
        </w:tc>
      </w:tr>
      <w:tr w:rsidR="00465222" w:rsidRPr="007A370F" w14:paraId="0D6230E1" w14:textId="77777777" w:rsidTr="0000718B">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3C31D5"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Cars</w:t>
            </w:r>
          </w:p>
        </w:tc>
        <w:tc>
          <w:tcPr>
            <w:tcW w:w="11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5077C5"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47%</w:t>
            </w:r>
          </w:p>
        </w:tc>
        <w:tc>
          <w:tcPr>
            <w:tcW w:w="15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0F8DAC"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44,180,000 t</w:t>
            </w:r>
          </w:p>
        </w:tc>
        <w:tc>
          <w:tcPr>
            <w:tcW w:w="11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AAF70"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0.24%</w:t>
            </w:r>
          </w:p>
        </w:tc>
        <w:tc>
          <w:tcPr>
            <w:tcW w:w="19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E93F1E"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106,032 t</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73D29"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53,016 t</w:t>
            </w:r>
          </w:p>
        </w:tc>
      </w:tr>
      <w:tr w:rsidR="00465222" w:rsidRPr="007A370F" w14:paraId="7CB8DC71" w14:textId="77777777" w:rsidTr="0000718B">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9D932"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Light commercials</w:t>
            </w:r>
          </w:p>
        </w:tc>
        <w:tc>
          <w:tcPr>
            <w:tcW w:w="11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0E0225"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17%</w:t>
            </w:r>
          </w:p>
        </w:tc>
        <w:tc>
          <w:tcPr>
            <w:tcW w:w="15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51B02"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15,980,000 t</w:t>
            </w:r>
          </w:p>
        </w:tc>
        <w:tc>
          <w:tcPr>
            <w:tcW w:w="11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9A0634"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0.24%</w:t>
            </w:r>
          </w:p>
        </w:tc>
        <w:tc>
          <w:tcPr>
            <w:tcW w:w="19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CB0A4"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38,352 t</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413C73"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19,176 t</w:t>
            </w:r>
          </w:p>
        </w:tc>
      </w:tr>
      <w:tr w:rsidR="00465222" w:rsidRPr="007A370F" w14:paraId="4CE71894" w14:textId="77777777" w:rsidTr="0000718B">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DE4FE"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Trucks and busses</w:t>
            </w:r>
          </w:p>
        </w:tc>
        <w:tc>
          <w:tcPr>
            <w:tcW w:w="11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6CD8B"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21%</w:t>
            </w:r>
          </w:p>
        </w:tc>
        <w:tc>
          <w:tcPr>
            <w:tcW w:w="15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B85591"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19,740,000 t</w:t>
            </w:r>
          </w:p>
        </w:tc>
        <w:tc>
          <w:tcPr>
            <w:tcW w:w="11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B7701F"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0.316%</w:t>
            </w:r>
          </w:p>
        </w:tc>
        <w:tc>
          <w:tcPr>
            <w:tcW w:w="19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5523F1"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62,378.4 t</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07D64"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31,189 t</w:t>
            </w:r>
          </w:p>
        </w:tc>
      </w:tr>
      <w:tr w:rsidR="00465222" w:rsidRPr="007A370F" w14:paraId="7D5DC188" w14:textId="77777777" w:rsidTr="0000718B">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A6C8E5"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 </w:t>
            </w:r>
          </w:p>
        </w:tc>
        <w:tc>
          <w:tcPr>
            <w:tcW w:w="11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5DEF2"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 </w:t>
            </w:r>
          </w:p>
        </w:tc>
        <w:tc>
          <w:tcPr>
            <w:tcW w:w="15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6B703"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lang w:eastAsia="en-AU"/>
              </w:rPr>
              <w:t> </w:t>
            </w:r>
          </w:p>
        </w:tc>
        <w:tc>
          <w:tcPr>
            <w:tcW w:w="11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D7EAC6"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b/>
                <w:bCs/>
                <w:lang w:eastAsia="en-AU"/>
              </w:rPr>
              <w:t>Totals</w:t>
            </w:r>
          </w:p>
        </w:tc>
        <w:tc>
          <w:tcPr>
            <w:tcW w:w="19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566B00"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b/>
                <w:bCs/>
                <w:lang w:eastAsia="en-AU"/>
              </w:rPr>
              <w:t>206,762.4</w:t>
            </w:r>
            <w:r>
              <w:rPr>
                <w:rFonts w:eastAsia="Times New Roman" w:cs="Calibri"/>
                <w:b/>
                <w:bCs/>
                <w:lang w:eastAsia="en-AU"/>
              </w:rPr>
              <w:t xml:space="preserve"> t</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393E7" w14:textId="77777777" w:rsidR="00465222" w:rsidRPr="007A370F" w:rsidRDefault="00465222" w:rsidP="0000718B">
            <w:pPr>
              <w:spacing w:after="0" w:line="240" w:lineRule="auto"/>
              <w:rPr>
                <w:rFonts w:eastAsia="Times New Roman" w:cs="Calibri"/>
                <w:lang w:eastAsia="en-AU"/>
              </w:rPr>
            </w:pPr>
            <w:r w:rsidRPr="007A370F">
              <w:rPr>
                <w:rFonts w:eastAsia="Times New Roman" w:cs="Calibri"/>
                <w:b/>
                <w:bCs/>
                <w:lang w:eastAsia="en-AU"/>
              </w:rPr>
              <w:t>103,381</w:t>
            </w:r>
            <w:r>
              <w:rPr>
                <w:rFonts w:eastAsia="Times New Roman" w:cs="Calibri"/>
                <w:b/>
                <w:bCs/>
                <w:lang w:eastAsia="en-AU"/>
              </w:rPr>
              <w:t xml:space="preserve"> t</w:t>
            </w:r>
          </w:p>
        </w:tc>
      </w:tr>
    </w:tbl>
    <w:p w14:paraId="0F765BD7" w14:textId="77777777" w:rsidR="00465222" w:rsidRDefault="00465222" w:rsidP="00465222">
      <w:r>
        <w:rPr>
          <w:rFonts w:cs="Calibri"/>
        </w:rPr>
        <w:t>Figure 2 – CO</w:t>
      </w:r>
      <w:r w:rsidRPr="007A370F">
        <w:rPr>
          <w:rFonts w:cs="Calibri"/>
          <w:vertAlign w:val="subscript"/>
        </w:rPr>
        <w:t>2</w:t>
      </w:r>
      <w:r>
        <w:rPr>
          <w:rFonts w:cs="Calibri"/>
        </w:rPr>
        <w:t xml:space="preserve"> annual savings potential, classed by percentage saving rates.</w:t>
      </w:r>
    </w:p>
    <w:p w14:paraId="4AADF64F" w14:textId="3BCD2559" w:rsidR="00154F0F" w:rsidRDefault="00154F0F">
      <w:pPr>
        <w:spacing w:line="259" w:lineRule="auto"/>
      </w:pPr>
      <w:r>
        <w:br w:type="page"/>
      </w:r>
    </w:p>
    <w:tbl>
      <w:tblPr>
        <w:tblW w:w="9498" w:type="dxa"/>
        <w:tblLook w:val="04A0" w:firstRow="1" w:lastRow="0" w:firstColumn="1" w:lastColumn="0" w:noHBand="0" w:noVBand="1"/>
      </w:tblPr>
      <w:tblGrid>
        <w:gridCol w:w="4678"/>
        <w:gridCol w:w="1347"/>
        <w:gridCol w:w="1205"/>
        <w:gridCol w:w="1134"/>
        <w:gridCol w:w="1134"/>
      </w:tblGrid>
      <w:tr w:rsidR="00465222" w:rsidRPr="009E6684" w14:paraId="0028ACF5" w14:textId="77777777" w:rsidTr="0000718B">
        <w:trPr>
          <w:trHeight w:val="465"/>
        </w:trPr>
        <w:tc>
          <w:tcPr>
            <w:tcW w:w="9498" w:type="dxa"/>
            <w:gridSpan w:val="5"/>
            <w:tcBorders>
              <w:top w:val="nil"/>
              <w:left w:val="nil"/>
              <w:bottom w:val="nil"/>
              <w:right w:val="nil"/>
            </w:tcBorders>
            <w:shd w:val="clear" w:color="auto" w:fill="auto"/>
            <w:noWrap/>
            <w:vAlign w:val="bottom"/>
            <w:hideMark/>
          </w:tcPr>
          <w:p w14:paraId="3AEBB918" w14:textId="77777777" w:rsidR="00465222" w:rsidRPr="009E6684" w:rsidRDefault="00465222" w:rsidP="0000718B">
            <w:pPr>
              <w:spacing w:after="0" w:line="240" w:lineRule="auto"/>
              <w:jc w:val="center"/>
              <w:rPr>
                <w:rFonts w:eastAsia="Times New Roman" w:cs="Calibri"/>
                <w:b/>
                <w:bCs/>
                <w:color w:val="000000"/>
                <w:sz w:val="36"/>
                <w:szCs w:val="36"/>
                <w:lang w:eastAsia="en-AU"/>
              </w:rPr>
            </w:pPr>
            <w:r w:rsidRPr="009E6684">
              <w:rPr>
                <w:rFonts w:eastAsia="Times New Roman" w:cs="Calibri"/>
                <w:b/>
                <w:bCs/>
                <w:color w:val="000000"/>
                <w:sz w:val="36"/>
                <w:szCs w:val="36"/>
                <w:lang w:eastAsia="en-AU"/>
              </w:rPr>
              <w:lastRenderedPageBreak/>
              <w:t>Corrected Tyre service life potential</w:t>
            </w:r>
          </w:p>
        </w:tc>
      </w:tr>
      <w:tr w:rsidR="00465222" w:rsidRPr="009E6684" w14:paraId="4BF37748" w14:textId="77777777" w:rsidTr="0000718B">
        <w:trPr>
          <w:trHeight w:val="300"/>
        </w:trPr>
        <w:tc>
          <w:tcPr>
            <w:tcW w:w="9498" w:type="dxa"/>
            <w:gridSpan w:val="5"/>
            <w:tcBorders>
              <w:top w:val="nil"/>
              <w:left w:val="nil"/>
              <w:bottom w:val="nil"/>
              <w:right w:val="nil"/>
            </w:tcBorders>
            <w:shd w:val="clear" w:color="auto" w:fill="auto"/>
            <w:noWrap/>
            <w:vAlign w:val="bottom"/>
            <w:hideMark/>
          </w:tcPr>
          <w:p w14:paraId="337FE150" w14:textId="77777777" w:rsidR="00465222" w:rsidRPr="009E6684" w:rsidRDefault="00465222" w:rsidP="0000718B">
            <w:pPr>
              <w:spacing w:after="0" w:line="240" w:lineRule="auto"/>
              <w:rPr>
                <w:rFonts w:eastAsia="Times New Roman" w:cs="Calibri"/>
                <w:color w:val="000000"/>
                <w:sz w:val="18"/>
                <w:szCs w:val="18"/>
                <w:lang w:eastAsia="en-AU"/>
              </w:rPr>
            </w:pPr>
            <w:r w:rsidRPr="009E6684">
              <w:rPr>
                <w:rFonts w:eastAsia="Times New Roman" w:cs="Calibri"/>
                <w:color w:val="000000"/>
                <w:sz w:val="18"/>
                <w:szCs w:val="18"/>
                <w:lang w:eastAsia="en-AU"/>
              </w:rPr>
              <w:t>Results are specific to mandatory implementation of UNECE R141 TPMS requirements.</w:t>
            </w:r>
          </w:p>
        </w:tc>
      </w:tr>
      <w:tr w:rsidR="00465222" w:rsidRPr="009E6684" w14:paraId="0D869CD7" w14:textId="77777777" w:rsidTr="0000718B">
        <w:trPr>
          <w:trHeight w:val="315"/>
        </w:trPr>
        <w:tc>
          <w:tcPr>
            <w:tcW w:w="4678" w:type="dxa"/>
            <w:tcBorders>
              <w:top w:val="nil"/>
              <w:left w:val="nil"/>
              <w:bottom w:val="nil"/>
              <w:right w:val="nil"/>
            </w:tcBorders>
            <w:shd w:val="clear" w:color="auto" w:fill="auto"/>
            <w:noWrap/>
            <w:vAlign w:val="bottom"/>
            <w:hideMark/>
          </w:tcPr>
          <w:p w14:paraId="5633D661"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Current estimated tyre service costs - $/1000km</w:t>
            </w:r>
          </w:p>
        </w:tc>
        <w:tc>
          <w:tcPr>
            <w:tcW w:w="1347" w:type="dxa"/>
            <w:tcBorders>
              <w:top w:val="nil"/>
              <w:left w:val="nil"/>
              <w:bottom w:val="nil"/>
              <w:right w:val="nil"/>
            </w:tcBorders>
            <w:shd w:val="clear" w:color="auto" w:fill="auto"/>
            <w:noWrap/>
            <w:vAlign w:val="bottom"/>
            <w:hideMark/>
          </w:tcPr>
          <w:p w14:paraId="1DB41D2F" w14:textId="77777777" w:rsidR="00465222" w:rsidRPr="009E6684" w:rsidRDefault="00465222" w:rsidP="0000718B">
            <w:pPr>
              <w:spacing w:after="0" w:line="240" w:lineRule="auto"/>
              <w:rPr>
                <w:rFonts w:eastAsia="Times New Roman" w:cs="Calibri"/>
                <w:color w:val="FF0000"/>
                <w:lang w:eastAsia="en-AU"/>
              </w:rPr>
            </w:pPr>
            <w:r w:rsidRPr="009E6684">
              <w:rPr>
                <w:rFonts w:eastAsia="Times New Roman" w:cs="Calibri"/>
                <w:color w:val="FF0000"/>
                <w:lang w:eastAsia="en-AU"/>
              </w:rPr>
              <w:t xml:space="preserve"> $         2.39 </w:t>
            </w:r>
          </w:p>
        </w:tc>
        <w:tc>
          <w:tcPr>
            <w:tcW w:w="1205" w:type="dxa"/>
            <w:tcBorders>
              <w:top w:val="nil"/>
              <w:left w:val="nil"/>
              <w:bottom w:val="nil"/>
              <w:right w:val="nil"/>
            </w:tcBorders>
            <w:shd w:val="clear" w:color="auto" w:fill="auto"/>
            <w:noWrap/>
            <w:vAlign w:val="bottom"/>
            <w:hideMark/>
          </w:tcPr>
          <w:p w14:paraId="21D054AA" w14:textId="77777777" w:rsidR="00465222" w:rsidRPr="009E6684" w:rsidRDefault="00465222" w:rsidP="0000718B">
            <w:pPr>
              <w:spacing w:after="0" w:line="240" w:lineRule="auto"/>
              <w:rPr>
                <w:rFonts w:eastAsia="Times New Roman" w:cs="Calibri"/>
                <w:color w:val="FF0000"/>
                <w:lang w:eastAsia="en-AU"/>
              </w:rPr>
            </w:pPr>
          </w:p>
        </w:tc>
        <w:tc>
          <w:tcPr>
            <w:tcW w:w="1134" w:type="dxa"/>
            <w:tcBorders>
              <w:top w:val="nil"/>
              <w:left w:val="nil"/>
              <w:bottom w:val="nil"/>
              <w:right w:val="nil"/>
            </w:tcBorders>
            <w:shd w:val="clear" w:color="auto" w:fill="auto"/>
            <w:noWrap/>
            <w:vAlign w:val="bottom"/>
            <w:hideMark/>
          </w:tcPr>
          <w:p w14:paraId="504CC743"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2C853673"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r>
      <w:tr w:rsidR="00465222" w:rsidRPr="009E6684" w14:paraId="27624D8B" w14:textId="77777777" w:rsidTr="0000718B">
        <w:trPr>
          <w:trHeight w:val="300"/>
        </w:trPr>
        <w:tc>
          <w:tcPr>
            <w:tcW w:w="4678" w:type="dxa"/>
            <w:tcBorders>
              <w:top w:val="nil"/>
              <w:left w:val="nil"/>
              <w:bottom w:val="nil"/>
              <w:right w:val="nil"/>
            </w:tcBorders>
            <w:shd w:val="clear" w:color="auto" w:fill="auto"/>
            <w:noWrap/>
            <w:vAlign w:val="bottom"/>
            <w:hideMark/>
          </w:tcPr>
          <w:p w14:paraId="003BAD64"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347" w:type="dxa"/>
            <w:tcBorders>
              <w:top w:val="nil"/>
              <w:left w:val="nil"/>
              <w:bottom w:val="nil"/>
              <w:right w:val="nil"/>
            </w:tcBorders>
            <w:shd w:val="clear" w:color="auto" w:fill="auto"/>
            <w:noWrap/>
            <w:vAlign w:val="bottom"/>
            <w:hideMark/>
          </w:tcPr>
          <w:p w14:paraId="0C777B2C"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205" w:type="dxa"/>
            <w:tcBorders>
              <w:top w:val="nil"/>
              <w:left w:val="nil"/>
              <w:bottom w:val="nil"/>
              <w:right w:val="nil"/>
            </w:tcBorders>
            <w:shd w:val="clear" w:color="auto" w:fill="auto"/>
            <w:noWrap/>
            <w:vAlign w:val="bottom"/>
            <w:hideMark/>
          </w:tcPr>
          <w:p w14:paraId="5EBCF00C"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1151D2E5"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0B145DE2"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r>
      <w:tr w:rsidR="00465222" w:rsidRPr="009E6684" w14:paraId="2CE4CF19" w14:textId="77777777" w:rsidTr="0000718B">
        <w:trPr>
          <w:trHeight w:val="300"/>
        </w:trPr>
        <w:tc>
          <w:tcPr>
            <w:tcW w:w="4678" w:type="dxa"/>
            <w:tcBorders>
              <w:top w:val="nil"/>
              <w:left w:val="nil"/>
              <w:bottom w:val="nil"/>
              <w:right w:val="nil"/>
            </w:tcBorders>
            <w:shd w:val="clear" w:color="000000" w:fill="B4C6E7"/>
            <w:noWrap/>
            <w:vAlign w:val="bottom"/>
            <w:hideMark/>
          </w:tcPr>
          <w:p w14:paraId="014587F2"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Percentage under-inflation </w:t>
            </w:r>
          </w:p>
        </w:tc>
        <w:tc>
          <w:tcPr>
            <w:tcW w:w="1347" w:type="dxa"/>
            <w:tcBorders>
              <w:top w:val="nil"/>
              <w:left w:val="nil"/>
              <w:bottom w:val="nil"/>
              <w:right w:val="nil"/>
            </w:tcBorders>
            <w:shd w:val="clear" w:color="000000" w:fill="B4C6E7"/>
            <w:noWrap/>
            <w:vAlign w:val="bottom"/>
            <w:hideMark/>
          </w:tcPr>
          <w:p w14:paraId="637CF61A"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0-10%</w:t>
            </w:r>
          </w:p>
        </w:tc>
        <w:tc>
          <w:tcPr>
            <w:tcW w:w="1205" w:type="dxa"/>
            <w:tcBorders>
              <w:top w:val="nil"/>
              <w:left w:val="nil"/>
              <w:bottom w:val="nil"/>
              <w:right w:val="nil"/>
            </w:tcBorders>
            <w:shd w:val="clear" w:color="000000" w:fill="B4C6E7"/>
            <w:noWrap/>
            <w:vAlign w:val="bottom"/>
            <w:hideMark/>
          </w:tcPr>
          <w:p w14:paraId="4BFA1D36"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10-20%</w:t>
            </w:r>
          </w:p>
        </w:tc>
        <w:tc>
          <w:tcPr>
            <w:tcW w:w="1134" w:type="dxa"/>
            <w:tcBorders>
              <w:top w:val="nil"/>
              <w:left w:val="nil"/>
              <w:bottom w:val="nil"/>
              <w:right w:val="nil"/>
            </w:tcBorders>
            <w:shd w:val="clear" w:color="000000" w:fill="B4C6E7"/>
            <w:noWrap/>
            <w:vAlign w:val="bottom"/>
            <w:hideMark/>
          </w:tcPr>
          <w:p w14:paraId="553F76C9"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20-30%</w:t>
            </w:r>
          </w:p>
        </w:tc>
        <w:tc>
          <w:tcPr>
            <w:tcW w:w="1134" w:type="dxa"/>
            <w:tcBorders>
              <w:top w:val="nil"/>
              <w:left w:val="nil"/>
              <w:bottom w:val="nil"/>
              <w:right w:val="nil"/>
            </w:tcBorders>
            <w:shd w:val="clear" w:color="000000" w:fill="B4C6E7"/>
            <w:noWrap/>
            <w:vAlign w:val="bottom"/>
            <w:hideMark/>
          </w:tcPr>
          <w:p w14:paraId="7EBCD282"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&gt;30%</w:t>
            </w:r>
          </w:p>
        </w:tc>
      </w:tr>
      <w:tr w:rsidR="00465222" w:rsidRPr="009E6684" w14:paraId="1C77CDAD" w14:textId="77777777" w:rsidTr="0000718B">
        <w:trPr>
          <w:trHeight w:val="300"/>
        </w:trPr>
        <w:tc>
          <w:tcPr>
            <w:tcW w:w="4678" w:type="dxa"/>
            <w:tcBorders>
              <w:top w:val="nil"/>
              <w:left w:val="nil"/>
              <w:bottom w:val="nil"/>
              <w:right w:val="nil"/>
            </w:tcBorders>
            <w:shd w:val="clear" w:color="auto" w:fill="auto"/>
            <w:noWrap/>
            <w:vAlign w:val="bottom"/>
            <w:hideMark/>
          </w:tcPr>
          <w:p w14:paraId="60E9ADF3"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Distribution of under-inflation rate/tyre</w:t>
            </w:r>
          </w:p>
        </w:tc>
        <w:tc>
          <w:tcPr>
            <w:tcW w:w="1347" w:type="dxa"/>
            <w:tcBorders>
              <w:top w:val="nil"/>
              <w:left w:val="nil"/>
              <w:bottom w:val="nil"/>
              <w:right w:val="nil"/>
            </w:tcBorders>
            <w:shd w:val="clear" w:color="auto" w:fill="auto"/>
            <w:noWrap/>
            <w:vAlign w:val="bottom"/>
            <w:hideMark/>
          </w:tcPr>
          <w:p w14:paraId="7FC32222"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39.00%</w:t>
            </w:r>
          </w:p>
        </w:tc>
        <w:tc>
          <w:tcPr>
            <w:tcW w:w="1205" w:type="dxa"/>
            <w:tcBorders>
              <w:top w:val="nil"/>
              <w:left w:val="nil"/>
              <w:bottom w:val="nil"/>
              <w:right w:val="nil"/>
            </w:tcBorders>
            <w:shd w:val="clear" w:color="auto" w:fill="auto"/>
            <w:noWrap/>
            <w:vAlign w:val="bottom"/>
            <w:hideMark/>
          </w:tcPr>
          <w:p w14:paraId="7C0170E7"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19.00%</w:t>
            </w:r>
          </w:p>
        </w:tc>
        <w:tc>
          <w:tcPr>
            <w:tcW w:w="1134" w:type="dxa"/>
            <w:tcBorders>
              <w:top w:val="nil"/>
              <w:left w:val="nil"/>
              <w:bottom w:val="nil"/>
              <w:right w:val="nil"/>
            </w:tcBorders>
            <w:shd w:val="clear" w:color="auto" w:fill="auto"/>
            <w:noWrap/>
            <w:vAlign w:val="bottom"/>
            <w:hideMark/>
          </w:tcPr>
          <w:p w14:paraId="5E55462D"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4.00%</w:t>
            </w:r>
          </w:p>
        </w:tc>
        <w:tc>
          <w:tcPr>
            <w:tcW w:w="1134" w:type="dxa"/>
            <w:tcBorders>
              <w:top w:val="nil"/>
              <w:left w:val="nil"/>
              <w:bottom w:val="nil"/>
              <w:right w:val="nil"/>
            </w:tcBorders>
            <w:shd w:val="clear" w:color="auto" w:fill="auto"/>
            <w:noWrap/>
            <w:vAlign w:val="bottom"/>
            <w:hideMark/>
          </w:tcPr>
          <w:p w14:paraId="08721AB9"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2.00%</w:t>
            </w:r>
          </w:p>
        </w:tc>
      </w:tr>
      <w:tr w:rsidR="00465222" w:rsidRPr="009E6684" w14:paraId="4840FE2A" w14:textId="77777777" w:rsidTr="0000718B">
        <w:trPr>
          <w:trHeight w:val="300"/>
        </w:trPr>
        <w:tc>
          <w:tcPr>
            <w:tcW w:w="4678" w:type="dxa"/>
            <w:tcBorders>
              <w:top w:val="nil"/>
              <w:left w:val="nil"/>
              <w:bottom w:val="nil"/>
              <w:right w:val="nil"/>
            </w:tcBorders>
            <w:shd w:val="clear" w:color="auto" w:fill="auto"/>
            <w:noWrap/>
            <w:vAlign w:val="bottom"/>
            <w:hideMark/>
          </w:tcPr>
          <w:p w14:paraId="3B1A2E9B"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Associated reduction in tyre lifetime</w:t>
            </w:r>
          </w:p>
        </w:tc>
        <w:tc>
          <w:tcPr>
            <w:tcW w:w="1347" w:type="dxa"/>
            <w:tcBorders>
              <w:top w:val="nil"/>
              <w:left w:val="nil"/>
              <w:bottom w:val="nil"/>
              <w:right w:val="nil"/>
            </w:tcBorders>
            <w:shd w:val="clear" w:color="auto" w:fill="auto"/>
            <w:noWrap/>
            <w:vAlign w:val="bottom"/>
            <w:hideMark/>
          </w:tcPr>
          <w:p w14:paraId="767AB218"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3.00%</w:t>
            </w:r>
          </w:p>
        </w:tc>
        <w:tc>
          <w:tcPr>
            <w:tcW w:w="1205" w:type="dxa"/>
            <w:tcBorders>
              <w:top w:val="nil"/>
              <w:left w:val="nil"/>
              <w:bottom w:val="nil"/>
              <w:right w:val="nil"/>
            </w:tcBorders>
            <w:shd w:val="clear" w:color="auto" w:fill="auto"/>
            <w:noWrap/>
            <w:vAlign w:val="bottom"/>
            <w:hideMark/>
          </w:tcPr>
          <w:p w14:paraId="5C0F2EFD"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17.00%</w:t>
            </w:r>
          </w:p>
        </w:tc>
        <w:tc>
          <w:tcPr>
            <w:tcW w:w="1134" w:type="dxa"/>
            <w:tcBorders>
              <w:top w:val="nil"/>
              <w:left w:val="nil"/>
              <w:bottom w:val="nil"/>
              <w:right w:val="nil"/>
            </w:tcBorders>
            <w:shd w:val="clear" w:color="auto" w:fill="auto"/>
            <w:noWrap/>
            <w:vAlign w:val="bottom"/>
            <w:hideMark/>
          </w:tcPr>
          <w:p w14:paraId="4D8A8BE2"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41.00%</w:t>
            </w:r>
          </w:p>
        </w:tc>
        <w:tc>
          <w:tcPr>
            <w:tcW w:w="1134" w:type="dxa"/>
            <w:tcBorders>
              <w:top w:val="nil"/>
              <w:left w:val="nil"/>
              <w:bottom w:val="nil"/>
              <w:right w:val="nil"/>
            </w:tcBorders>
            <w:shd w:val="clear" w:color="auto" w:fill="auto"/>
            <w:noWrap/>
            <w:vAlign w:val="bottom"/>
            <w:hideMark/>
          </w:tcPr>
          <w:p w14:paraId="57252D20"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55.00%</w:t>
            </w:r>
          </w:p>
        </w:tc>
      </w:tr>
      <w:tr w:rsidR="00465222" w:rsidRPr="009E6684" w14:paraId="4647D68F" w14:textId="77777777" w:rsidTr="0000718B">
        <w:trPr>
          <w:trHeight w:val="315"/>
        </w:trPr>
        <w:tc>
          <w:tcPr>
            <w:tcW w:w="4678" w:type="dxa"/>
            <w:tcBorders>
              <w:top w:val="nil"/>
              <w:left w:val="nil"/>
              <w:bottom w:val="nil"/>
              <w:right w:val="nil"/>
            </w:tcBorders>
            <w:shd w:val="clear" w:color="auto" w:fill="auto"/>
            <w:noWrap/>
            <w:vAlign w:val="bottom"/>
            <w:hideMark/>
          </w:tcPr>
          <w:p w14:paraId="00636D6C"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Impact of mandated TPMS</w:t>
            </w:r>
          </w:p>
        </w:tc>
        <w:tc>
          <w:tcPr>
            <w:tcW w:w="1347" w:type="dxa"/>
            <w:tcBorders>
              <w:top w:val="nil"/>
              <w:left w:val="nil"/>
              <w:bottom w:val="nil"/>
              <w:right w:val="nil"/>
            </w:tcBorders>
            <w:shd w:val="clear" w:color="auto" w:fill="auto"/>
            <w:noWrap/>
            <w:vAlign w:val="bottom"/>
            <w:hideMark/>
          </w:tcPr>
          <w:p w14:paraId="01698BC0"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0.00%</w:t>
            </w:r>
          </w:p>
        </w:tc>
        <w:tc>
          <w:tcPr>
            <w:tcW w:w="1205" w:type="dxa"/>
            <w:tcBorders>
              <w:top w:val="nil"/>
              <w:left w:val="nil"/>
              <w:bottom w:val="nil"/>
              <w:right w:val="nil"/>
            </w:tcBorders>
            <w:shd w:val="clear" w:color="auto" w:fill="auto"/>
            <w:noWrap/>
            <w:vAlign w:val="bottom"/>
            <w:hideMark/>
          </w:tcPr>
          <w:p w14:paraId="4922EB1D"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50.00%</w:t>
            </w:r>
          </w:p>
        </w:tc>
        <w:tc>
          <w:tcPr>
            <w:tcW w:w="1134" w:type="dxa"/>
            <w:tcBorders>
              <w:top w:val="nil"/>
              <w:left w:val="nil"/>
              <w:bottom w:val="nil"/>
              <w:right w:val="nil"/>
            </w:tcBorders>
            <w:shd w:val="clear" w:color="auto" w:fill="auto"/>
            <w:noWrap/>
            <w:vAlign w:val="bottom"/>
            <w:hideMark/>
          </w:tcPr>
          <w:p w14:paraId="5BA29FBF"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100.00%</w:t>
            </w:r>
          </w:p>
        </w:tc>
        <w:tc>
          <w:tcPr>
            <w:tcW w:w="1134" w:type="dxa"/>
            <w:tcBorders>
              <w:top w:val="nil"/>
              <w:left w:val="nil"/>
              <w:bottom w:val="nil"/>
              <w:right w:val="nil"/>
            </w:tcBorders>
            <w:shd w:val="clear" w:color="auto" w:fill="auto"/>
            <w:noWrap/>
            <w:vAlign w:val="bottom"/>
            <w:hideMark/>
          </w:tcPr>
          <w:p w14:paraId="08D74A3E"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100.00%</w:t>
            </w:r>
          </w:p>
        </w:tc>
      </w:tr>
      <w:tr w:rsidR="00465222" w:rsidRPr="009E6684" w14:paraId="172E2891" w14:textId="77777777" w:rsidTr="0000718B">
        <w:trPr>
          <w:trHeight w:val="315"/>
        </w:trPr>
        <w:tc>
          <w:tcPr>
            <w:tcW w:w="4678" w:type="dxa"/>
            <w:tcBorders>
              <w:top w:val="nil"/>
              <w:left w:val="nil"/>
              <w:bottom w:val="nil"/>
              <w:right w:val="nil"/>
            </w:tcBorders>
            <w:shd w:val="clear" w:color="auto" w:fill="auto"/>
            <w:noWrap/>
            <w:vAlign w:val="bottom"/>
            <w:hideMark/>
          </w:tcPr>
          <w:p w14:paraId="4CFF01F7"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Percentage of tyres affected by TPMS</w:t>
            </w:r>
          </w:p>
        </w:tc>
        <w:tc>
          <w:tcPr>
            <w:tcW w:w="1347" w:type="dxa"/>
            <w:tcBorders>
              <w:top w:val="nil"/>
              <w:left w:val="nil"/>
              <w:bottom w:val="nil"/>
              <w:right w:val="nil"/>
            </w:tcBorders>
            <w:shd w:val="clear" w:color="auto" w:fill="auto"/>
            <w:noWrap/>
            <w:vAlign w:val="bottom"/>
            <w:hideMark/>
          </w:tcPr>
          <w:p w14:paraId="6DFB4EA6"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0.00%</w:t>
            </w:r>
          </w:p>
        </w:tc>
        <w:tc>
          <w:tcPr>
            <w:tcW w:w="1205" w:type="dxa"/>
            <w:tcBorders>
              <w:top w:val="nil"/>
              <w:left w:val="nil"/>
              <w:bottom w:val="nil"/>
              <w:right w:val="nil"/>
            </w:tcBorders>
            <w:shd w:val="clear" w:color="auto" w:fill="auto"/>
            <w:noWrap/>
            <w:vAlign w:val="bottom"/>
            <w:hideMark/>
          </w:tcPr>
          <w:p w14:paraId="5D05220D"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9.50%</w:t>
            </w:r>
          </w:p>
        </w:tc>
        <w:tc>
          <w:tcPr>
            <w:tcW w:w="1134" w:type="dxa"/>
            <w:tcBorders>
              <w:top w:val="nil"/>
              <w:left w:val="nil"/>
              <w:bottom w:val="nil"/>
              <w:right w:val="nil"/>
            </w:tcBorders>
            <w:shd w:val="clear" w:color="auto" w:fill="auto"/>
            <w:noWrap/>
            <w:vAlign w:val="bottom"/>
            <w:hideMark/>
          </w:tcPr>
          <w:p w14:paraId="28F82E5B"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4.00%</w:t>
            </w:r>
          </w:p>
        </w:tc>
        <w:tc>
          <w:tcPr>
            <w:tcW w:w="1134" w:type="dxa"/>
            <w:tcBorders>
              <w:top w:val="nil"/>
              <w:left w:val="nil"/>
              <w:bottom w:val="nil"/>
              <w:right w:val="nil"/>
            </w:tcBorders>
            <w:shd w:val="clear" w:color="auto" w:fill="auto"/>
            <w:noWrap/>
            <w:vAlign w:val="bottom"/>
            <w:hideMark/>
          </w:tcPr>
          <w:p w14:paraId="54172689" w14:textId="77777777" w:rsidR="00465222" w:rsidRPr="009E6684" w:rsidRDefault="00465222" w:rsidP="0000718B">
            <w:pPr>
              <w:spacing w:after="0" w:line="240" w:lineRule="auto"/>
              <w:jc w:val="right"/>
              <w:rPr>
                <w:rFonts w:eastAsia="Times New Roman" w:cs="Calibri"/>
                <w:color w:val="000000"/>
                <w:lang w:eastAsia="en-AU"/>
              </w:rPr>
            </w:pPr>
            <w:r w:rsidRPr="009E6684">
              <w:rPr>
                <w:rFonts w:eastAsia="Times New Roman" w:cs="Calibri"/>
                <w:color w:val="000000"/>
                <w:lang w:eastAsia="en-AU"/>
              </w:rPr>
              <w:t>2.00%</w:t>
            </w:r>
          </w:p>
        </w:tc>
      </w:tr>
      <w:tr w:rsidR="00465222" w:rsidRPr="009E6684" w14:paraId="5071DFF6" w14:textId="77777777" w:rsidTr="0000718B">
        <w:trPr>
          <w:trHeight w:val="300"/>
        </w:trPr>
        <w:tc>
          <w:tcPr>
            <w:tcW w:w="4678" w:type="dxa"/>
            <w:tcBorders>
              <w:top w:val="nil"/>
              <w:left w:val="nil"/>
              <w:bottom w:val="nil"/>
              <w:right w:val="nil"/>
            </w:tcBorders>
            <w:shd w:val="clear" w:color="auto" w:fill="auto"/>
            <w:noWrap/>
            <w:vAlign w:val="bottom"/>
            <w:hideMark/>
          </w:tcPr>
          <w:p w14:paraId="60D71180"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Cost/1000km for corrected lifetime percentage</w:t>
            </w:r>
          </w:p>
        </w:tc>
        <w:tc>
          <w:tcPr>
            <w:tcW w:w="1347" w:type="dxa"/>
            <w:tcBorders>
              <w:top w:val="nil"/>
              <w:left w:val="nil"/>
              <w:bottom w:val="nil"/>
              <w:right w:val="nil"/>
            </w:tcBorders>
            <w:shd w:val="clear" w:color="auto" w:fill="auto"/>
            <w:noWrap/>
            <w:vAlign w:val="bottom"/>
            <w:hideMark/>
          </w:tcPr>
          <w:p w14:paraId="35C738A3"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2.32 </w:t>
            </w:r>
          </w:p>
        </w:tc>
        <w:tc>
          <w:tcPr>
            <w:tcW w:w="1205" w:type="dxa"/>
            <w:tcBorders>
              <w:top w:val="nil"/>
              <w:left w:val="nil"/>
              <w:bottom w:val="nil"/>
              <w:right w:val="nil"/>
            </w:tcBorders>
            <w:shd w:val="clear" w:color="auto" w:fill="auto"/>
            <w:noWrap/>
            <w:vAlign w:val="bottom"/>
            <w:hideMark/>
          </w:tcPr>
          <w:p w14:paraId="36D49696"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1.98 </w:t>
            </w:r>
          </w:p>
        </w:tc>
        <w:tc>
          <w:tcPr>
            <w:tcW w:w="1134" w:type="dxa"/>
            <w:tcBorders>
              <w:top w:val="nil"/>
              <w:left w:val="nil"/>
              <w:bottom w:val="nil"/>
              <w:right w:val="nil"/>
            </w:tcBorders>
            <w:shd w:val="clear" w:color="auto" w:fill="auto"/>
            <w:noWrap/>
            <w:vAlign w:val="bottom"/>
            <w:hideMark/>
          </w:tcPr>
          <w:p w14:paraId="14A1DC60"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1.41 </w:t>
            </w:r>
          </w:p>
        </w:tc>
        <w:tc>
          <w:tcPr>
            <w:tcW w:w="1134" w:type="dxa"/>
            <w:tcBorders>
              <w:top w:val="nil"/>
              <w:left w:val="nil"/>
              <w:bottom w:val="nil"/>
              <w:right w:val="nil"/>
            </w:tcBorders>
            <w:shd w:val="clear" w:color="auto" w:fill="auto"/>
            <w:noWrap/>
            <w:vAlign w:val="bottom"/>
            <w:hideMark/>
          </w:tcPr>
          <w:p w14:paraId="20900739"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1.08 </w:t>
            </w:r>
          </w:p>
        </w:tc>
      </w:tr>
      <w:tr w:rsidR="00465222" w:rsidRPr="009E6684" w14:paraId="1C750CCB" w14:textId="77777777" w:rsidTr="0000718B">
        <w:trPr>
          <w:trHeight w:val="300"/>
        </w:trPr>
        <w:tc>
          <w:tcPr>
            <w:tcW w:w="4678" w:type="dxa"/>
            <w:tcBorders>
              <w:top w:val="nil"/>
              <w:left w:val="nil"/>
              <w:bottom w:val="nil"/>
              <w:right w:val="nil"/>
            </w:tcBorders>
            <w:shd w:val="clear" w:color="000000" w:fill="92D050"/>
            <w:noWrap/>
            <w:vAlign w:val="bottom"/>
            <w:hideMark/>
          </w:tcPr>
          <w:p w14:paraId="3BA9BA6E"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Cost savings per tyre/1000km</w:t>
            </w:r>
          </w:p>
        </w:tc>
        <w:tc>
          <w:tcPr>
            <w:tcW w:w="1347" w:type="dxa"/>
            <w:tcBorders>
              <w:top w:val="nil"/>
              <w:left w:val="nil"/>
              <w:bottom w:val="nil"/>
              <w:right w:val="nil"/>
            </w:tcBorders>
            <w:shd w:val="clear" w:color="000000" w:fill="92D050"/>
            <w:noWrap/>
            <w:vAlign w:val="bottom"/>
            <w:hideMark/>
          </w:tcPr>
          <w:p w14:paraId="7961F489"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0.07 </w:t>
            </w:r>
          </w:p>
        </w:tc>
        <w:tc>
          <w:tcPr>
            <w:tcW w:w="1205" w:type="dxa"/>
            <w:tcBorders>
              <w:top w:val="nil"/>
              <w:left w:val="nil"/>
              <w:bottom w:val="nil"/>
              <w:right w:val="nil"/>
            </w:tcBorders>
            <w:shd w:val="clear" w:color="000000" w:fill="92D050"/>
            <w:noWrap/>
            <w:vAlign w:val="bottom"/>
            <w:hideMark/>
          </w:tcPr>
          <w:p w14:paraId="3DEF1F29"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0.41 </w:t>
            </w:r>
          </w:p>
        </w:tc>
        <w:tc>
          <w:tcPr>
            <w:tcW w:w="1134" w:type="dxa"/>
            <w:tcBorders>
              <w:top w:val="nil"/>
              <w:left w:val="nil"/>
              <w:bottom w:val="nil"/>
              <w:right w:val="nil"/>
            </w:tcBorders>
            <w:shd w:val="clear" w:color="000000" w:fill="92D050"/>
            <w:noWrap/>
            <w:vAlign w:val="bottom"/>
            <w:hideMark/>
          </w:tcPr>
          <w:p w14:paraId="198B373F"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0.98 </w:t>
            </w:r>
          </w:p>
        </w:tc>
        <w:tc>
          <w:tcPr>
            <w:tcW w:w="1134" w:type="dxa"/>
            <w:tcBorders>
              <w:top w:val="nil"/>
              <w:left w:val="nil"/>
              <w:bottom w:val="nil"/>
              <w:right w:val="nil"/>
            </w:tcBorders>
            <w:shd w:val="clear" w:color="000000" w:fill="92D050"/>
            <w:noWrap/>
            <w:vAlign w:val="bottom"/>
            <w:hideMark/>
          </w:tcPr>
          <w:p w14:paraId="0CD32D14"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 xml:space="preserve"> $       1.31 </w:t>
            </w:r>
          </w:p>
        </w:tc>
      </w:tr>
      <w:tr w:rsidR="00465222" w:rsidRPr="009E6684" w14:paraId="49A40FF6" w14:textId="77777777" w:rsidTr="0000718B">
        <w:trPr>
          <w:trHeight w:val="315"/>
        </w:trPr>
        <w:tc>
          <w:tcPr>
            <w:tcW w:w="4678" w:type="dxa"/>
            <w:tcBorders>
              <w:top w:val="nil"/>
              <w:left w:val="nil"/>
              <w:bottom w:val="nil"/>
              <w:right w:val="nil"/>
            </w:tcBorders>
            <w:shd w:val="clear" w:color="auto" w:fill="auto"/>
            <w:noWrap/>
            <w:vAlign w:val="bottom"/>
            <w:hideMark/>
          </w:tcPr>
          <w:p w14:paraId="517887E2"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Average increased service potential per tyre/1000km</w:t>
            </w:r>
          </w:p>
        </w:tc>
        <w:tc>
          <w:tcPr>
            <w:tcW w:w="1347" w:type="dxa"/>
            <w:tcBorders>
              <w:top w:val="nil"/>
              <w:left w:val="nil"/>
              <w:bottom w:val="nil"/>
              <w:right w:val="nil"/>
            </w:tcBorders>
            <w:shd w:val="clear" w:color="auto" w:fill="auto"/>
            <w:noWrap/>
            <w:vAlign w:val="bottom"/>
            <w:hideMark/>
          </w:tcPr>
          <w:p w14:paraId="1801D587" w14:textId="77777777" w:rsidR="00465222" w:rsidRPr="009E6684" w:rsidRDefault="00465222" w:rsidP="0000718B">
            <w:pPr>
              <w:spacing w:after="0" w:line="240" w:lineRule="auto"/>
              <w:jc w:val="right"/>
              <w:rPr>
                <w:rFonts w:eastAsia="Times New Roman" w:cs="Calibri"/>
                <w:color w:val="00B050"/>
                <w:lang w:eastAsia="en-AU"/>
              </w:rPr>
            </w:pPr>
            <w:r w:rsidRPr="009E6684">
              <w:rPr>
                <w:rFonts w:eastAsia="Times New Roman" w:cs="Calibri"/>
                <w:color w:val="00B050"/>
                <w:lang w:eastAsia="en-AU"/>
              </w:rPr>
              <w:t>103.22</w:t>
            </w:r>
          </w:p>
        </w:tc>
        <w:tc>
          <w:tcPr>
            <w:tcW w:w="1205" w:type="dxa"/>
            <w:tcBorders>
              <w:top w:val="nil"/>
              <w:left w:val="nil"/>
              <w:bottom w:val="nil"/>
              <w:right w:val="nil"/>
            </w:tcBorders>
            <w:shd w:val="clear" w:color="auto" w:fill="auto"/>
            <w:noWrap/>
            <w:vAlign w:val="bottom"/>
            <w:hideMark/>
          </w:tcPr>
          <w:p w14:paraId="19694927" w14:textId="77777777" w:rsidR="00465222" w:rsidRPr="009E6684" w:rsidRDefault="00465222" w:rsidP="0000718B">
            <w:pPr>
              <w:spacing w:after="0" w:line="240" w:lineRule="auto"/>
              <w:rPr>
                <w:rFonts w:eastAsia="Times New Roman" w:cs="Calibri"/>
                <w:color w:val="00B050"/>
                <w:lang w:eastAsia="en-AU"/>
              </w:rPr>
            </w:pPr>
            <w:r w:rsidRPr="009E6684">
              <w:rPr>
                <w:rFonts w:eastAsia="Times New Roman" w:cs="Calibri"/>
                <w:color w:val="00B050"/>
                <w:lang w:eastAsia="en-AU"/>
              </w:rPr>
              <w:t>Km</w:t>
            </w:r>
          </w:p>
        </w:tc>
        <w:tc>
          <w:tcPr>
            <w:tcW w:w="1134" w:type="dxa"/>
            <w:tcBorders>
              <w:top w:val="nil"/>
              <w:left w:val="nil"/>
              <w:bottom w:val="nil"/>
              <w:right w:val="nil"/>
            </w:tcBorders>
            <w:shd w:val="clear" w:color="auto" w:fill="auto"/>
            <w:noWrap/>
            <w:vAlign w:val="bottom"/>
            <w:hideMark/>
          </w:tcPr>
          <w:p w14:paraId="77281DFA" w14:textId="77777777" w:rsidR="00465222" w:rsidRPr="009E6684" w:rsidRDefault="00465222" w:rsidP="0000718B">
            <w:pPr>
              <w:spacing w:after="0" w:line="240" w:lineRule="auto"/>
              <w:rPr>
                <w:rFonts w:eastAsia="Times New Roman" w:cs="Calibri"/>
                <w:color w:val="00B050"/>
                <w:lang w:eastAsia="en-AU"/>
              </w:rPr>
            </w:pPr>
          </w:p>
        </w:tc>
        <w:tc>
          <w:tcPr>
            <w:tcW w:w="1134" w:type="dxa"/>
            <w:tcBorders>
              <w:top w:val="nil"/>
              <w:left w:val="nil"/>
              <w:bottom w:val="nil"/>
              <w:right w:val="nil"/>
            </w:tcBorders>
            <w:shd w:val="clear" w:color="auto" w:fill="auto"/>
            <w:noWrap/>
            <w:vAlign w:val="bottom"/>
            <w:hideMark/>
          </w:tcPr>
          <w:p w14:paraId="59130498"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r>
      <w:tr w:rsidR="00465222" w:rsidRPr="009E6684" w14:paraId="64AFB481" w14:textId="77777777" w:rsidTr="0000718B">
        <w:trPr>
          <w:trHeight w:val="300"/>
        </w:trPr>
        <w:tc>
          <w:tcPr>
            <w:tcW w:w="4678" w:type="dxa"/>
            <w:tcBorders>
              <w:top w:val="nil"/>
              <w:left w:val="nil"/>
              <w:bottom w:val="nil"/>
              <w:right w:val="nil"/>
            </w:tcBorders>
            <w:shd w:val="clear" w:color="auto" w:fill="auto"/>
            <w:noWrap/>
            <w:vAlign w:val="bottom"/>
            <w:hideMark/>
          </w:tcPr>
          <w:p w14:paraId="36053AEB"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Best case new average cost/1000km</w:t>
            </w:r>
          </w:p>
        </w:tc>
        <w:tc>
          <w:tcPr>
            <w:tcW w:w="1347" w:type="dxa"/>
            <w:tcBorders>
              <w:top w:val="nil"/>
              <w:left w:val="nil"/>
              <w:bottom w:val="nil"/>
              <w:right w:val="nil"/>
            </w:tcBorders>
            <w:shd w:val="clear" w:color="auto" w:fill="auto"/>
            <w:noWrap/>
            <w:vAlign w:val="bottom"/>
            <w:hideMark/>
          </w:tcPr>
          <w:p w14:paraId="01B20817" w14:textId="77777777" w:rsidR="00465222" w:rsidRPr="009E6684" w:rsidRDefault="00465222" w:rsidP="0000718B">
            <w:pPr>
              <w:spacing w:after="0" w:line="240" w:lineRule="auto"/>
              <w:rPr>
                <w:rFonts w:eastAsia="Times New Roman" w:cs="Calibri"/>
                <w:color w:val="00B050"/>
                <w:lang w:eastAsia="en-AU"/>
              </w:rPr>
            </w:pPr>
            <w:r w:rsidRPr="009E6684">
              <w:rPr>
                <w:rFonts w:eastAsia="Times New Roman" w:cs="Calibri"/>
                <w:color w:val="00B050"/>
                <w:lang w:eastAsia="en-AU"/>
              </w:rPr>
              <w:t xml:space="preserve"> $         2.22 </w:t>
            </w:r>
          </w:p>
        </w:tc>
        <w:tc>
          <w:tcPr>
            <w:tcW w:w="1205" w:type="dxa"/>
            <w:tcBorders>
              <w:top w:val="nil"/>
              <w:left w:val="nil"/>
              <w:bottom w:val="nil"/>
              <w:right w:val="nil"/>
            </w:tcBorders>
            <w:shd w:val="clear" w:color="auto" w:fill="auto"/>
            <w:noWrap/>
            <w:vAlign w:val="bottom"/>
            <w:hideMark/>
          </w:tcPr>
          <w:p w14:paraId="25ED0F1B" w14:textId="77777777" w:rsidR="00465222" w:rsidRPr="009E6684" w:rsidRDefault="00465222" w:rsidP="0000718B">
            <w:pPr>
              <w:spacing w:after="0" w:line="240" w:lineRule="auto"/>
              <w:rPr>
                <w:rFonts w:eastAsia="Times New Roman" w:cs="Calibri"/>
                <w:color w:val="00B050"/>
                <w:lang w:eastAsia="en-AU"/>
              </w:rPr>
            </w:pPr>
          </w:p>
        </w:tc>
        <w:tc>
          <w:tcPr>
            <w:tcW w:w="1134" w:type="dxa"/>
            <w:tcBorders>
              <w:top w:val="nil"/>
              <w:left w:val="nil"/>
              <w:bottom w:val="nil"/>
              <w:right w:val="nil"/>
            </w:tcBorders>
            <w:shd w:val="clear" w:color="auto" w:fill="auto"/>
            <w:noWrap/>
            <w:vAlign w:val="bottom"/>
            <w:hideMark/>
          </w:tcPr>
          <w:p w14:paraId="126953DC"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6DC2C941"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r>
      <w:tr w:rsidR="00465222" w:rsidRPr="009E6684" w14:paraId="3D60813B" w14:textId="77777777" w:rsidTr="0000718B">
        <w:trPr>
          <w:trHeight w:val="300"/>
        </w:trPr>
        <w:tc>
          <w:tcPr>
            <w:tcW w:w="4678" w:type="dxa"/>
            <w:tcBorders>
              <w:top w:val="nil"/>
              <w:left w:val="nil"/>
              <w:bottom w:val="nil"/>
              <w:right w:val="nil"/>
            </w:tcBorders>
            <w:shd w:val="clear" w:color="auto" w:fill="auto"/>
            <w:noWrap/>
            <w:vAlign w:val="bottom"/>
            <w:hideMark/>
          </w:tcPr>
          <w:p w14:paraId="43AC964D" w14:textId="77777777" w:rsidR="00465222" w:rsidRPr="009E6684" w:rsidRDefault="00465222" w:rsidP="0000718B">
            <w:pPr>
              <w:spacing w:after="0" w:line="240" w:lineRule="auto"/>
              <w:rPr>
                <w:rFonts w:eastAsia="Times New Roman" w:cs="Calibri"/>
                <w:color w:val="000000"/>
                <w:lang w:eastAsia="en-AU"/>
              </w:rPr>
            </w:pPr>
            <w:r w:rsidRPr="009E6684">
              <w:rPr>
                <w:rFonts w:eastAsia="Times New Roman" w:cs="Calibri"/>
                <w:color w:val="000000"/>
                <w:lang w:eastAsia="en-AU"/>
              </w:rPr>
              <w:t>Best case saving per tyre/1000km</w:t>
            </w:r>
          </w:p>
        </w:tc>
        <w:tc>
          <w:tcPr>
            <w:tcW w:w="1347" w:type="dxa"/>
            <w:tcBorders>
              <w:top w:val="nil"/>
              <w:left w:val="nil"/>
              <w:bottom w:val="nil"/>
              <w:right w:val="nil"/>
            </w:tcBorders>
            <w:shd w:val="clear" w:color="auto" w:fill="auto"/>
            <w:noWrap/>
            <w:vAlign w:val="bottom"/>
            <w:hideMark/>
          </w:tcPr>
          <w:p w14:paraId="4F0ECEDB" w14:textId="77777777" w:rsidR="00465222" w:rsidRPr="009E6684" w:rsidRDefault="00465222" w:rsidP="0000718B">
            <w:pPr>
              <w:spacing w:after="0" w:line="240" w:lineRule="auto"/>
              <w:rPr>
                <w:rFonts w:eastAsia="Times New Roman" w:cs="Calibri"/>
                <w:color w:val="00B050"/>
                <w:lang w:eastAsia="en-AU"/>
              </w:rPr>
            </w:pPr>
            <w:r w:rsidRPr="009E6684">
              <w:rPr>
                <w:rFonts w:eastAsia="Times New Roman" w:cs="Calibri"/>
                <w:color w:val="00B050"/>
                <w:lang w:eastAsia="en-AU"/>
              </w:rPr>
              <w:t xml:space="preserve"> $         0.17 </w:t>
            </w:r>
          </w:p>
        </w:tc>
        <w:tc>
          <w:tcPr>
            <w:tcW w:w="1205" w:type="dxa"/>
            <w:tcBorders>
              <w:top w:val="nil"/>
              <w:left w:val="nil"/>
              <w:bottom w:val="nil"/>
              <w:right w:val="nil"/>
            </w:tcBorders>
            <w:shd w:val="clear" w:color="auto" w:fill="auto"/>
            <w:noWrap/>
            <w:vAlign w:val="bottom"/>
            <w:hideMark/>
          </w:tcPr>
          <w:p w14:paraId="06227AF5" w14:textId="77777777" w:rsidR="00465222" w:rsidRPr="009E6684" w:rsidRDefault="00465222" w:rsidP="0000718B">
            <w:pPr>
              <w:spacing w:after="0" w:line="240" w:lineRule="auto"/>
              <w:rPr>
                <w:rFonts w:eastAsia="Times New Roman" w:cs="Calibri"/>
                <w:color w:val="00B050"/>
                <w:lang w:eastAsia="en-AU"/>
              </w:rPr>
            </w:pPr>
          </w:p>
        </w:tc>
        <w:tc>
          <w:tcPr>
            <w:tcW w:w="1134" w:type="dxa"/>
            <w:tcBorders>
              <w:top w:val="nil"/>
              <w:left w:val="nil"/>
              <w:bottom w:val="nil"/>
              <w:right w:val="nil"/>
            </w:tcBorders>
            <w:shd w:val="clear" w:color="auto" w:fill="auto"/>
            <w:noWrap/>
            <w:vAlign w:val="bottom"/>
            <w:hideMark/>
          </w:tcPr>
          <w:p w14:paraId="73D3C2D9"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c>
          <w:tcPr>
            <w:tcW w:w="1134" w:type="dxa"/>
            <w:tcBorders>
              <w:top w:val="nil"/>
              <w:left w:val="nil"/>
              <w:bottom w:val="nil"/>
              <w:right w:val="nil"/>
            </w:tcBorders>
            <w:shd w:val="clear" w:color="auto" w:fill="auto"/>
            <w:noWrap/>
            <w:vAlign w:val="bottom"/>
            <w:hideMark/>
          </w:tcPr>
          <w:p w14:paraId="1DE6E15D" w14:textId="77777777" w:rsidR="00465222" w:rsidRPr="009E6684" w:rsidRDefault="00465222" w:rsidP="0000718B">
            <w:pPr>
              <w:spacing w:after="0" w:line="240" w:lineRule="auto"/>
              <w:rPr>
                <w:rFonts w:ascii="Times New Roman" w:eastAsia="Times New Roman" w:hAnsi="Times New Roman" w:cs="Times New Roman"/>
                <w:szCs w:val="20"/>
                <w:lang w:eastAsia="en-AU"/>
              </w:rPr>
            </w:pPr>
          </w:p>
        </w:tc>
      </w:tr>
      <w:tr w:rsidR="00465222" w:rsidRPr="009E6684" w14:paraId="5794985F" w14:textId="77777777" w:rsidTr="0000718B">
        <w:trPr>
          <w:trHeight w:val="300"/>
        </w:trPr>
        <w:tc>
          <w:tcPr>
            <w:tcW w:w="9498" w:type="dxa"/>
            <w:gridSpan w:val="5"/>
            <w:tcBorders>
              <w:top w:val="nil"/>
              <w:left w:val="nil"/>
              <w:bottom w:val="nil"/>
              <w:right w:val="nil"/>
            </w:tcBorders>
            <w:shd w:val="clear" w:color="auto" w:fill="auto"/>
            <w:noWrap/>
            <w:vAlign w:val="bottom"/>
            <w:hideMark/>
          </w:tcPr>
          <w:p w14:paraId="3A4A831C" w14:textId="77777777" w:rsidR="00465222" w:rsidRPr="009E6684" w:rsidRDefault="00465222" w:rsidP="0000718B">
            <w:pPr>
              <w:spacing w:after="0" w:line="240" w:lineRule="auto"/>
              <w:rPr>
                <w:rFonts w:eastAsia="Times New Roman" w:cs="Calibri"/>
                <w:color w:val="000000"/>
                <w:sz w:val="16"/>
                <w:szCs w:val="16"/>
                <w:lang w:eastAsia="en-AU"/>
              </w:rPr>
            </w:pPr>
            <w:r w:rsidRPr="009E6684">
              <w:rPr>
                <w:rFonts w:eastAsia="Times New Roman" w:cs="Calibri"/>
                <w:color w:val="000000"/>
                <w:sz w:val="16"/>
                <w:szCs w:val="16"/>
                <w:lang w:eastAsia="en-AU"/>
              </w:rPr>
              <w:t>NB - Average savings must take into account the remaining 36% of tyres that are running at optimal pressure and value.</w:t>
            </w:r>
          </w:p>
        </w:tc>
      </w:tr>
    </w:tbl>
    <w:p w14:paraId="7AA64E1F" w14:textId="77777777" w:rsidR="00465222" w:rsidRDefault="00465222" w:rsidP="00465222">
      <w:pPr>
        <w:rPr>
          <w:rFonts w:asciiTheme="minorHAnsi" w:hAnsiTheme="minorHAnsi" w:cstheme="minorHAnsi"/>
        </w:rPr>
      </w:pPr>
    </w:p>
    <w:p w14:paraId="591004C1" w14:textId="77777777" w:rsidR="00465222" w:rsidRDefault="00465222" w:rsidP="00465222">
      <w:pPr>
        <w:rPr>
          <w:rFonts w:asciiTheme="minorHAnsi" w:hAnsiTheme="minorHAnsi" w:cstheme="minorHAnsi"/>
        </w:rPr>
      </w:pPr>
      <w:r w:rsidRPr="001C1DB7">
        <w:rPr>
          <w:rFonts w:asciiTheme="minorHAnsi" w:hAnsiTheme="minorHAnsi" w:cstheme="minorHAnsi"/>
        </w:rPr>
        <w:t xml:space="preserve">Figure 3 – Tyre servicing costs and increased service life potential </w:t>
      </w:r>
      <w:r>
        <w:rPr>
          <w:rFonts w:asciiTheme="minorHAnsi" w:hAnsiTheme="minorHAnsi" w:cstheme="minorHAnsi"/>
        </w:rPr>
        <w:t>due to mandatory full fleet TPMS fitment</w:t>
      </w:r>
      <w:r w:rsidRPr="001C1DB7">
        <w:rPr>
          <w:rFonts w:asciiTheme="minorHAnsi" w:hAnsiTheme="minorHAnsi" w:cstheme="minorHAnsi"/>
        </w:rPr>
        <w:t>.</w:t>
      </w:r>
    </w:p>
    <w:p w14:paraId="569345F1" w14:textId="77777777" w:rsidR="00465222" w:rsidRDefault="00465222" w:rsidP="00465222"/>
    <w:sectPr w:rsidR="00465222" w:rsidSect="00652BF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5431" w14:textId="77777777" w:rsidR="00464B16" w:rsidRDefault="00464B16" w:rsidP="00465222">
      <w:pPr>
        <w:spacing w:after="0" w:line="240" w:lineRule="auto"/>
      </w:pPr>
      <w:r>
        <w:separator/>
      </w:r>
    </w:p>
  </w:endnote>
  <w:endnote w:type="continuationSeparator" w:id="0">
    <w:p w14:paraId="2C61495F" w14:textId="77777777" w:rsidR="00464B16" w:rsidRDefault="00464B16" w:rsidP="0046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15637"/>
      <w:docPartObj>
        <w:docPartGallery w:val="Page Numbers (Bottom of Page)"/>
        <w:docPartUnique/>
      </w:docPartObj>
    </w:sdtPr>
    <w:sdtEndPr>
      <w:rPr>
        <w:noProof/>
      </w:rPr>
    </w:sdtEndPr>
    <w:sdtContent>
      <w:p w14:paraId="5F5568BC" w14:textId="6D3ABF84" w:rsidR="00F164A2" w:rsidRDefault="00F164A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1D8B9B" w14:textId="77777777" w:rsidR="00F164A2" w:rsidRDefault="00F1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C126" w14:textId="77777777" w:rsidR="00464B16" w:rsidRDefault="00464B16" w:rsidP="00465222">
      <w:pPr>
        <w:spacing w:after="0" w:line="240" w:lineRule="auto"/>
      </w:pPr>
      <w:r>
        <w:separator/>
      </w:r>
    </w:p>
  </w:footnote>
  <w:footnote w:type="continuationSeparator" w:id="0">
    <w:p w14:paraId="0FEABD2C" w14:textId="77777777" w:rsidR="00464B16" w:rsidRDefault="00464B16" w:rsidP="00465222">
      <w:pPr>
        <w:spacing w:after="0" w:line="240" w:lineRule="auto"/>
      </w:pPr>
      <w:r>
        <w:continuationSeparator/>
      </w:r>
    </w:p>
  </w:footnote>
  <w:footnote w:id="1">
    <w:p w14:paraId="011F4294" w14:textId="77777777" w:rsidR="00617454" w:rsidRPr="004B0F84" w:rsidRDefault="00617454" w:rsidP="00617454">
      <w:pPr>
        <w:pStyle w:val="FootnoteText"/>
        <w:rPr>
          <w:lang w:val="en-US"/>
        </w:rPr>
      </w:pPr>
      <w:r>
        <w:rPr>
          <w:rStyle w:val="FootnoteReference"/>
        </w:rPr>
        <w:footnoteRef/>
      </w:r>
      <w:r>
        <w:t xml:space="preserve"> </w:t>
      </w:r>
      <w:r w:rsidRPr="004B0F84">
        <w:t>UN Regulation No. 141 - Tyre Pressure Monitoring Systems (TPMS)</w:t>
      </w:r>
      <w:r>
        <w:br/>
      </w:r>
      <w:hyperlink r:id="rId1" w:history="1">
        <w:r>
          <w:rPr>
            <w:rStyle w:val="Hyperlink"/>
          </w:rPr>
          <w:t>https://unece.org/transport/vehicle-regulations-wp29/standards/addenda-1958-agreement-regulations-141-160</w:t>
        </w:r>
      </w:hyperlink>
    </w:p>
  </w:footnote>
  <w:footnote w:id="2">
    <w:p w14:paraId="65921E94" w14:textId="77777777" w:rsidR="00B83709" w:rsidRDefault="00B83709" w:rsidP="00B83709">
      <w:pPr>
        <w:pStyle w:val="FootnoteText"/>
      </w:pPr>
      <w:r>
        <w:rPr>
          <w:rStyle w:val="FootnoteReference"/>
        </w:rPr>
        <w:footnoteRef/>
      </w:r>
      <w:r>
        <w:t xml:space="preserve"> TPMS Fitment and Tyre Inflation Pressures - Field Study EU 2016/2017. Study by UNECE. </w:t>
      </w:r>
    </w:p>
    <w:p w14:paraId="31ABEEF5" w14:textId="77777777" w:rsidR="00B83709" w:rsidRDefault="00000000" w:rsidP="00B83709">
      <w:pPr>
        <w:pStyle w:val="FootnoteText"/>
      </w:pPr>
      <w:hyperlink r:id="rId2" w:history="1">
        <w:r w:rsidR="00B83709" w:rsidRPr="00A3549B">
          <w:rPr>
            <w:rStyle w:val="Hyperlink"/>
          </w:rPr>
          <w:t>https://unece.org/DAM/trans/doc/2018/wp29grrf/GRRF-86-17e.pdf</w:t>
        </w:r>
      </w:hyperlink>
      <w:r w:rsidR="00B83709">
        <w:t xml:space="preserve"> </w:t>
      </w:r>
    </w:p>
  </w:footnote>
  <w:footnote w:id="3">
    <w:p w14:paraId="4803E38E" w14:textId="77777777" w:rsidR="00DA570C" w:rsidRDefault="00DA570C" w:rsidP="00DA570C">
      <w:pPr>
        <w:pStyle w:val="FootnoteText"/>
      </w:pPr>
      <w:r>
        <w:rPr>
          <w:rStyle w:val="FootnoteReference"/>
        </w:rPr>
        <w:footnoteRef/>
      </w:r>
      <w:r>
        <w:t xml:space="preserve"> </w:t>
      </w:r>
      <w:r w:rsidRPr="009E1F50">
        <w:t>Study commissioned by the European Commission Directorate-General for Climate Action (DG CLIMA) from The Netherlands Organisation (TNO) - 'Study on tyre pressure monitoring systems (TPMS) as a means to reduce light-commercial and heavy-duty vehicles fuel consumption and CO2 emissions'.</w:t>
      </w:r>
      <w:r>
        <w:t xml:space="preserve"> Chapter 5 on Safety.</w:t>
      </w:r>
      <w:r>
        <w:br/>
      </w:r>
      <w:hyperlink r:id="rId3" w:history="1">
        <w:r w:rsidRPr="00A3549B">
          <w:rPr>
            <w:rStyle w:val="Hyperlink"/>
          </w:rPr>
          <w:t>https://repository.tno.nl/islandora/object/uuid:84b183d4-904f-48dc-a2fd-4ee515e24b1a</w:t>
        </w:r>
      </w:hyperlink>
    </w:p>
  </w:footnote>
  <w:footnote w:id="4">
    <w:p w14:paraId="257D8033" w14:textId="77777777" w:rsidR="00806C27" w:rsidRDefault="00806C27" w:rsidP="00806C27">
      <w:pPr>
        <w:pStyle w:val="FootnoteText"/>
      </w:pPr>
      <w:r>
        <w:rPr>
          <w:rStyle w:val="FootnoteReference"/>
        </w:rPr>
        <w:footnoteRef/>
      </w:r>
      <w:r>
        <w:t xml:space="preserve"> </w:t>
      </w:r>
      <w:r w:rsidRPr="004953E4">
        <w:t xml:space="preserve">OECD (2020), Non-exhaust Particulate Emissions from Road Transport: An Ignored Environmental Policy Challenge, OECD Publishing, Paris, </w:t>
      </w:r>
      <w:hyperlink r:id="rId4" w:history="1">
        <w:r>
          <w:rPr>
            <w:rStyle w:val="Hyperlink"/>
          </w:rPr>
          <w:t>https://www.oecd.org/environment/non-exhaust-particulate-emissions-from-road-transport-4a4dc6ca-en.htm</w:t>
        </w:r>
      </w:hyperlink>
    </w:p>
  </w:footnote>
  <w:footnote w:id="5">
    <w:p w14:paraId="5DA5FFCC" w14:textId="1E33853F" w:rsidR="00FE2624" w:rsidRDefault="00FE2624">
      <w:pPr>
        <w:pStyle w:val="FootnoteText"/>
      </w:pPr>
      <w:r>
        <w:rPr>
          <w:rStyle w:val="FootnoteReference"/>
        </w:rPr>
        <w:footnoteRef/>
      </w:r>
      <w:r>
        <w:t xml:space="preserve"> </w:t>
      </w:r>
      <w:r w:rsidR="00260139" w:rsidRPr="00260139">
        <w:t xml:space="preserve">Bureau of Infrastructure and Transport Research Economics (BITRE) Road Statistics </w:t>
      </w:r>
      <w:hyperlink r:id="rId5" w:history="1">
        <w:r w:rsidR="00260139" w:rsidRPr="00DD4468">
          <w:rPr>
            <w:rStyle w:val="Hyperlink"/>
          </w:rPr>
          <w:t>https://www.bitre.gov.au/statistics/road</w:t>
        </w:r>
      </w:hyperlink>
      <w:r w:rsidR="00260139">
        <w:t xml:space="preserve"> .</w:t>
      </w:r>
    </w:p>
  </w:footnote>
  <w:footnote w:id="6">
    <w:p w14:paraId="2AA77B21" w14:textId="77777777" w:rsidR="00260139" w:rsidRDefault="00260139" w:rsidP="00260139">
      <w:pPr>
        <w:pStyle w:val="FootnoteText"/>
      </w:pPr>
      <w:r>
        <w:rPr>
          <w:rStyle w:val="FootnoteReference"/>
        </w:rPr>
        <w:footnoteRef/>
      </w:r>
      <w:r>
        <w:t xml:space="preserve"> Australian Bureau of Statistics - Survey of Motor Vehicle Use, Australia 12 months to 30 June 2020.</w:t>
      </w:r>
    </w:p>
    <w:p w14:paraId="3FC61DAC" w14:textId="77777777" w:rsidR="00260139" w:rsidRDefault="00000000" w:rsidP="00260139">
      <w:pPr>
        <w:pStyle w:val="FootnoteText"/>
      </w:pPr>
      <w:hyperlink r:id="rId6" w:anchor="key-statistics" w:history="1">
        <w:r w:rsidR="00260139" w:rsidRPr="00DD4468">
          <w:rPr>
            <w:rStyle w:val="Hyperlink"/>
          </w:rPr>
          <w:t>https://www.abs.gov.au/statistics/industry/tourism-and-transport/survey-motor-vehicle-use-australia/latest-release#key-statistics</w:t>
        </w:r>
      </w:hyperlink>
      <w:r w:rsidR="00260139">
        <w:t xml:space="preserve"> </w:t>
      </w:r>
      <w:r w:rsidR="00260139">
        <w:br/>
        <w:t>Australian Bureau of Statistics (Jun-quarter-2023), Consumer Price Index, Australia</w:t>
      </w:r>
    </w:p>
    <w:p w14:paraId="3A7D9047" w14:textId="18DAF997" w:rsidR="00260139" w:rsidRDefault="00000000" w:rsidP="00260139">
      <w:pPr>
        <w:pStyle w:val="FootnoteText"/>
      </w:pPr>
      <w:hyperlink r:id="rId7" w:history="1">
        <w:r w:rsidR="00260139" w:rsidRPr="00DD4468">
          <w:rPr>
            <w:rStyle w:val="Hyperlink"/>
          </w:rPr>
          <w:t>https://www.abs.gov.au/statistics/economy/price-indexes-and-inflation/consumer-price-index-australia</w:t>
        </w:r>
      </w:hyperlink>
      <w:r w:rsidR="00260139">
        <w:t xml:space="preserve"> </w:t>
      </w:r>
    </w:p>
  </w:footnote>
  <w:footnote w:id="7">
    <w:p w14:paraId="655D80C9" w14:textId="77777777" w:rsidR="00F145FC" w:rsidRDefault="00F145FC" w:rsidP="00F145FC">
      <w:pPr>
        <w:pStyle w:val="FootnoteText"/>
      </w:pPr>
      <w:r>
        <w:rPr>
          <w:rStyle w:val="FootnoteReference"/>
        </w:rPr>
        <w:footnoteRef/>
      </w:r>
      <w:r>
        <w:t xml:space="preserve">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w:t>
      </w:r>
    </w:p>
    <w:p w14:paraId="75B9849E" w14:textId="7C813301" w:rsidR="00F145FC" w:rsidRDefault="00000000" w:rsidP="00F145FC">
      <w:pPr>
        <w:pStyle w:val="FootnoteText"/>
      </w:pPr>
      <w:hyperlink r:id="rId8" w:history="1">
        <w:r w:rsidR="00F145FC" w:rsidRPr="00DD4468">
          <w:rPr>
            <w:rStyle w:val="Hyperlink"/>
          </w:rPr>
          <w:t>https://unece.org/trans/main/wp29/wp29regs</w:t>
        </w:r>
      </w:hyperlink>
      <w:r w:rsidR="00F145F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B74B6"/>
    <w:multiLevelType w:val="hybridMultilevel"/>
    <w:tmpl w:val="5B1CC3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3FC31C7"/>
    <w:multiLevelType w:val="multilevel"/>
    <w:tmpl w:val="DBD07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C701A"/>
    <w:multiLevelType w:val="hybridMultilevel"/>
    <w:tmpl w:val="B5F05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EA371A"/>
    <w:multiLevelType w:val="multilevel"/>
    <w:tmpl w:val="2B50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E0BBE"/>
    <w:multiLevelType w:val="hybridMultilevel"/>
    <w:tmpl w:val="6DC8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A167B7"/>
    <w:multiLevelType w:val="hybridMultilevel"/>
    <w:tmpl w:val="5E987FE0"/>
    <w:lvl w:ilvl="0" w:tplc="0C090001">
      <w:start w:val="1"/>
      <w:numFmt w:val="bullet"/>
      <w:lvlText w:val=""/>
      <w:lvlJc w:val="left"/>
      <w:pPr>
        <w:ind w:left="901" w:hanging="360"/>
      </w:pPr>
      <w:rPr>
        <w:rFonts w:ascii="Symbol" w:hAnsi="Symbol" w:hint="default"/>
      </w:rPr>
    </w:lvl>
    <w:lvl w:ilvl="1" w:tplc="0C090003" w:tentative="1">
      <w:start w:val="1"/>
      <w:numFmt w:val="bullet"/>
      <w:lvlText w:val="o"/>
      <w:lvlJc w:val="left"/>
      <w:pPr>
        <w:ind w:left="1621" w:hanging="360"/>
      </w:pPr>
      <w:rPr>
        <w:rFonts w:ascii="Courier New" w:hAnsi="Courier New" w:cs="Courier New" w:hint="default"/>
      </w:rPr>
    </w:lvl>
    <w:lvl w:ilvl="2" w:tplc="0C090005" w:tentative="1">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6" w15:restartNumberingAfterBreak="0">
    <w:nsid w:val="3CC06554"/>
    <w:multiLevelType w:val="hybridMultilevel"/>
    <w:tmpl w:val="34C48A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97316C1"/>
    <w:multiLevelType w:val="hybridMultilevel"/>
    <w:tmpl w:val="3C40F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A0A2391"/>
    <w:multiLevelType w:val="hybridMultilevel"/>
    <w:tmpl w:val="530C5092"/>
    <w:lvl w:ilvl="0" w:tplc="0C090001">
      <w:start w:val="1"/>
      <w:numFmt w:val="bullet"/>
      <w:lvlText w:val=""/>
      <w:lvlJc w:val="left"/>
      <w:pPr>
        <w:ind w:left="901" w:hanging="360"/>
      </w:pPr>
      <w:rPr>
        <w:rFonts w:ascii="Symbol" w:hAnsi="Symbol" w:hint="default"/>
      </w:rPr>
    </w:lvl>
    <w:lvl w:ilvl="1" w:tplc="0C090003" w:tentative="1">
      <w:start w:val="1"/>
      <w:numFmt w:val="bullet"/>
      <w:lvlText w:val="o"/>
      <w:lvlJc w:val="left"/>
      <w:pPr>
        <w:ind w:left="1621" w:hanging="360"/>
      </w:pPr>
      <w:rPr>
        <w:rFonts w:ascii="Courier New" w:hAnsi="Courier New" w:cs="Courier New" w:hint="default"/>
      </w:rPr>
    </w:lvl>
    <w:lvl w:ilvl="2" w:tplc="0C090005" w:tentative="1">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9" w15:restartNumberingAfterBreak="0">
    <w:nsid w:val="4B2A5994"/>
    <w:multiLevelType w:val="hybridMultilevel"/>
    <w:tmpl w:val="7BB4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7D34E4"/>
    <w:multiLevelType w:val="hybridMultilevel"/>
    <w:tmpl w:val="75D87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3B3E94"/>
    <w:multiLevelType w:val="hybridMultilevel"/>
    <w:tmpl w:val="F8E8A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B72618"/>
    <w:multiLevelType w:val="hybridMultilevel"/>
    <w:tmpl w:val="44388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34218"/>
    <w:multiLevelType w:val="hybridMultilevel"/>
    <w:tmpl w:val="39526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5A42D37"/>
    <w:multiLevelType w:val="hybridMultilevel"/>
    <w:tmpl w:val="8304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5E338D"/>
    <w:multiLevelType w:val="hybridMultilevel"/>
    <w:tmpl w:val="BF7225D0"/>
    <w:lvl w:ilvl="0" w:tplc="0C090001">
      <w:start w:val="1"/>
      <w:numFmt w:val="bullet"/>
      <w:lvlText w:val=""/>
      <w:lvlJc w:val="left"/>
      <w:pPr>
        <w:ind w:left="901" w:hanging="360"/>
      </w:pPr>
      <w:rPr>
        <w:rFonts w:ascii="Symbol" w:hAnsi="Symbol" w:hint="default"/>
      </w:rPr>
    </w:lvl>
    <w:lvl w:ilvl="1" w:tplc="0C090003" w:tentative="1">
      <w:start w:val="1"/>
      <w:numFmt w:val="bullet"/>
      <w:lvlText w:val="o"/>
      <w:lvlJc w:val="left"/>
      <w:pPr>
        <w:ind w:left="1621" w:hanging="360"/>
      </w:pPr>
      <w:rPr>
        <w:rFonts w:ascii="Courier New" w:hAnsi="Courier New" w:cs="Courier New" w:hint="default"/>
      </w:rPr>
    </w:lvl>
    <w:lvl w:ilvl="2" w:tplc="0C090005" w:tentative="1">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16" w15:restartNumberingAfterBreak="0">
    <w:nsid w:val="6D151527"/>
    <w:multiLevelType w:val="hybridMultilevel"/>
    <w:tmpl w:val="6B62F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2E7672"/>
    <w:multiLevelType w:val="multilevel"/>
    <w:tmpl w:val="D2B895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B41274"/>
    <w:multiLevelType w:val="hybridMultilevel"/>
    <w:tmpl w:val="4A74C352"/>
    <w:lvl w:ilvl="0" w:tplc="0C090001">
      <w:start w:val="1"/>
      <w:numFmt w:val="bullet"/>
      <w:lvlText w:val=""/>
      <w:lvlJc w:val="left"/>
      <w:pPr>
        <w:ind w:left="901" w:hanging="360"/>
      </w:pPr>
      <w:rPr>
        <w:rFonts w:ascii="Symbol" w:hAnsi="Symbol" w:hint="default"/>
      </w:rPr>
    </w:lvl>
    <w:lvl w:ilvl="1" w:tplc="0C090003" w:tentative="1">
      <w:start w:val="1"/>
      <w:numFmt w:val="bullet"/>
      <w:lvlText w:val="o"/>
      <w:lvlJc w:val="left"/>
      <w:pPr>
        <w:ind w:left="1621" w:hanging="360"/>
      </w:pPr>
      <w:rPr>
        <w:rFonts w:ascii="Courier New" w:hAnsi="Courier New" w:cs="Courier New" w:hint="default"/>
      </w:rPr>
    </w:lvl>
    <w:lvl w:ilvl="2" w:tplc="0C090005" w:tentative="1">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19" w15:restartNumberingAfterBreak="0">
    <w:nsid w:val="6FBA71D7"/>
    <w:multiLevelType w:val="hybridMultilevel"/>
    <w:tmpl w:val="0BDC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7819D8"/>
    <w:multiLevelType w:val="hybridMultilevel"/>
    <w:tmpl w:val="4A90C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4675772">
    <w:abstractNumId w:val="1"/>
  </w:num>
  <w:num w:numId="2" w16cid:durableId="599798676">
    <w:abstractNumId w:val="14"/>
  </w:num>
  <w:num w:numId="3" w16cid:durableId="477843193">
    <w:abstractNumId w:val="3"/>
  </w:num>
  <w:num w:numId="4" w16cid:durableId="30765683">
    <w:abstractNumId w:val="17"/>
  </w:num>
  <w:num w:numId="5" w16cid:durableId="1010763611">
    <w:abstractNumId w:val="18"/>
  </w:num>
  <w:num w:numId="6" w16cid:durableId="1277181862">
    <w:abstractNumId w:val="13"/>
  </w:num>
  <w:num w:numId="7" w16cid:durableId="1231430554">
    <w:abstractNumId w:val="8"/>
  </w:num>
  <w:num w:numId="8" w16cid:durableId="2063362806">
    <w:abstractNumId w:val="5"/>
  </w:num>
  <w:num w:numId="9" w16cid:durableId="669404886">
    <w:abstractNumId w:val="15"/>
  </w:num>
  <w:num w:numId="10" w16cid:durableId="560411522">
    <w:abstractNumId w:val="0"/>
  </w:num>
  <w:num w:numId="11" w16cid:durableId="824979316">
    <w:abstractNumId w:val="4"/>
  </w:num>
  <w:num w:numId="12" w16cid:durableId="1071806283">
    <w:abstractNumId w:val="10"/>
  </w:num>
  <w:num w:numId="13" w16cid:durableId="1332294649">
    <w:abstractNumId w:val="11"/>
  </w:num>
  <w:num w:numId="14" w16cid:durableId="274025322">
    <w:abstractNumId w:val="2"/>
  </w:num>
  <w:num w:numId="15" w16cid:durableId="707489157">
    <w:abstractNumId w:val="19"/>
  </w:num>
  <w:num w:numId="16" w16cid:durableId="356854082">
    <w:abstractNumId w:val="12"/>
  </w:num>
  <w:num w:numId="17" w16cid:durableId="627663507">
    <w:abstractNumId w:val="20"/>
  </w:num>
  <w:num w:numId="18" w16cid:durableId="1417049145">
    <w:abstractNumId w:val="16"/>
  </w:num>
  <w:num w:numId="19" w16cid:durableId="743799233">
    <w:abstractNumId w:val="7"/>
  </w:num>
  <w:num w:numId="20" w16cid:durableId="178011161">
    <w:abstractNumId w:val="9"/>
  </w:num>
  <w:num w:numId="21" w16cid:durableId="878590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22"/>
    <w:rsid w:val="00000CD2"/>
    <w:rsid w:val="0000718B"/>
    <w:rsid w:val="0002091F"/>
    <w:rsid w:val="00043A98"/>
    <w:rsid w:val="00050BAD"/>
    <w:rsid w:val="0005355D"/>
    <w:rsid w:val="000710C2"/>
    <w:rsid w:val="0008469E"/>
    <w:rsid w:val="000922BB"/>
    <w:rsid w:val="000A7C22"/>
    <w:rsid w:val="000D69F4"/>
    <w:rsid w:val="000F06AD"/>
    <w:rsid w:val="000F58B6"/>
    <w:rsid w:val="0011090E"/>
    <w:rsid w:val="00111BC4"/>
    <w:rsid w:val="00112248"/>
    <w:rsid w:val="00142117"/>
    <w:rsid w:val="00154F0F"/>
    <w:rsid w:val="0015703A"/>
    <w:rsid w:val="00160F31"/>
    <w:rsid w:val="00160F9A"/>
    <w:rsid w:val="00192635"/>
    <w:rsid w:val="00193D76"/>
    <w:rsid w:val="001B5733"/>
    <w:rsid w:val="001F5B29"/>
    <w:rsid w:val="002147AA"/>
    <w:rsid w:val="00214D7F"/>
    <w:rsid w:val="002164C6"/>
    <w:rsid w:val="00227286"/>
    <w:rsid w:val="0025205D"/>
    <w:rsid w:val="0025402F"/>
    <w:rsid w:val="00260139"/>
    <w:rsid w:val="0026289D"/>
    <w:rsid w:val="00276EBF"/>
    <w:rsid w:val="0029127E"/>
    <w:rsid w:val="002B4744"/>
    <w:rsid w:val="002C26CC"/>
    <w:rsid w:val="002C68C1"/>
    <w:rsid w:val="002D2284"/>
    <w:rsid w:val="002E12E4"/>
    <w:rsid w:val="00317E8B"/>
    <w:rsid w:val="00335D02"/>
    <w:rsid w:val="00340D6C"/>
    <w:rsid w:val="0034190D"/>
    <w:rsid w:val="00354AAF"/>
    <w:rsid w:val="00362683"/>
    <w:rsid w:val="0036387A"/>
    <w:rsid w:val="003911E7"/>
    <w:rsid w:val="0039136B"/>
    <w:rsid w:val="003B5F6B"/>
    <w:rsid w:val="003F5959"/>
    <w:rsid w:val="00407D7A"/>
    <w:rsid w:val="00411AA5"/>
    <w:rsid w:val="00425E17"/>
    <w:rsid w:val="00433537"/>
    <w:rsid w:val="004342AB"/>
    <w:rsid w:val="00463E57"/>
    <w:rsid w:val="00464B16"/>
    <w:rsid w:val="00465222"/>
    <w:rsid w:val="004721C9"/>
    <w:rsid w:val="00474AB3"/>
    <w:rsid w:val="00475CF5"/>
    <w:rsid w:val="00491C77"/>
    <w:rsid w:val="004953E4"/>
    <w:rsid w:val="004A789B"/>
    <w:rsid w:val="004C5B39"/>
    <w:rsid w:val="004D0F60"/>
    <w:rsid w:val="004E5248"/>
    <w:rsid w:val="004E669F"/>
    <w:rsid w:val="0051369F"/>
    <w:rsid w:val="00526E52"/>
    <w:rsid w:val="00561EE4"/>
    <w:rsid w:val="00562970"/>
    <w:rsid w:val="00564481"/>
    <w:rsid w:val="00573F12"/>
    <w:rsid w:val="00574B7F"/>
    <w:rsid w:val="00585F7D"/>
    <w:rsid w:val="005A4BC0"/>
    <w:rsid w:val="005B54DB"/>
    <w:rsid w:val="005D42B3"/>
    <w:rsid w:val="005D5315"/>
    <w:rsid w:val="005E7FD7"/>
    <w:rsid w:val="005F6EE3"/>
    <w:rsid w:val="00617454"/>
    <w:rsid w:val="00623A5E"/>
    <w:rsid w:val="00626421"/>
    <w:rsid w:val="00652BF3"/>
    <w:rsid w:val="00656984"/>
    <w:rsid w:val="00660C2D"/>
    <w:rsid w:val="00661BC7"/>
    <w:rsid w:val="0066554B"/>
    <w:rsid w:val="00684723"/>
    <w:rsid w:val="00692469"/>
    <w:rsid w:val="00695A96"/>
    <w:rsid w:val="006968DF"/>
    <w:rsid w:val="006B7AE4"/>
    <w:rsid w:val="006E4B08"/>
    <w:rsid w:val="006F13B4"/>
    <w:rsid w:val="00706015"/>
    <w:rsid w:val="007128CF"/>
    <w:rsid w:val="00730936"/>
    <w:rsid w:val="00736D68"/>
    <w:rsid w:val="007420CA"/>
    <w:rsid w:val="0075677D"/>
    <w:rsid w:val="00757ADD"/>
    <w:rsid w:val="00780BEB"/>
    <w:rsid w:val="007843D6"/>
    <w:rsid w:val="0078475F"/>
    <w:rsid w:val="007B4058"/>
    <w:rsid w:val="007D5A51"/>
    <w:rsid w:val="007F651D"/>
    <w:rsid w:val="00806C27"/>
    <w:rsid w:val="0081057C"/>
    <w:rsid w:val="00811A63"/>
    <w:rsid w:val="00815FE5"/>
    <w:rsid w:val="00823ACA"/>
    <w:rsid w:val="00827CF7"/>
    <w:rsid w:val="008306C9"/>
    <w:rsid w:val="008357B7"/>
    <w:rsid w:val="0083590E"/>
    <w:rsid w:val="008465A1"/>
    <w:rsid w:val="00847545"/>
    <w:rsid w:val="0085167B"/>
    <w:rsid w:val="00883731"/>
    <w:rsid w:val="008929C9"/>
    <w:rsid w:val="0089583E"/>
    <w:rsid w:val="008A3CFA"/>
    <w:rsid w:val="008A5A1C"/>
    <w:rsid w:val="008D5641"/>
    <w:rsid w:val="008E56C6"/>
    <w:rsid w:val="008E658C"/>
    <w:rsid w:val="009100F5"/>
    <w:rsid w:val="00950B30"/>
    <w:rsid w:val="009641EA"/>
    <w:rsid w:val="00974FCE"/>
    <w:rsid w:val="00984B10"/>
    <w:rsid w:val="00995DD7"/>
    <w:rsid w:val="009B4452"/>
    <w:rsid w:val="009D57D3"/>
    <w:rsid w:val="009D7A80"/>
    <w:rsid w:val="009F1AB1"/>
    <w:rsid w:val="00A05C16"/>
    <w:rsid w:val="00A3761A"/>
    <w:rsid w:val="00A37AB3"/>
    <w:rsid w:val="00A54FAE"/>
    <w:rsid w:val="00A71D3C"/>
    <w:rsid w:val="00A8000B"/>
    <w:rsid w:val="00A901B6"/>
    <w:rsid w:val="00AA1B8D"/>
    <w:rsid w:val="00AB0F59"/>
    <w:rsid w:val="00B0775B"/>
    <w:rsid w:val="00B25C8D"/>
    <w:rsid w:val="00B47C6C"/>
    <w:rsid w:val="00B53762"/>
    <w:rsid w:val="00B648B5"/>
    <w:rsid w:val="00B81768"/>
    <w:rsid w:val="00B83709"/>
    <w:rsid w:val="00BA0701"/>
    <w:rsid w:val="00BA7F01"/>
    <w:rsid w:val="00BC0248"/>
    <w:rsid w:val="00BC11BE"/>
    <w:rsid w:val="00BD27B9"/>
    <w:rsid w:val="00BE2BA3"/>
    <w:rsid w:val="00BE2F69"/>
    <w:rsid w:val="00C2500D"/>
    <w:rsid w:val="00C30EE5"/>
    <w:rsid w:val="00C315EE"/>
    <w:rsid w:val="00C32254"/>
    <w:rsid w:val="00C433D2"/>
    <w:rsid w:val="00C55A03"/>
    <w:rsid w:val="00C5653E"/>
    <w:rsid w:val="00C62D45"/>
    <w:rsid w:val="00C749BD"/>
    <w:rsid w:val="00C86CCC"/>
    <w:rsid w:val="00C90E05"/>
    <w:rsid w:val="00CA58B8"/>
    <w:rsid w:val="00CA5A28"/>
    <w:rsid w:val="00CC487F"/>
    <w:rsid w:val="00CD0DA6"/>
    <w:rsid w:val="00CE6CCD"/>
    <w:rsid w:val="00CF7355"/>
    <w:rsid w:val="00D110B2"/>
    <w:rsid w:val="00D12188"/>
    <w:rsid w:val="00D172B3"/>
    <w:rsid w:val="00D23CBB"/>
    <w:rsid w:val="00D24900"/>
    <w:rsid w:val="00D27196"/>
    <w:rsid w:val="00D475FC"/>
    <w:rsid w:val="00D526A1"/>
    <w:rsid w:val="00D642E0"/>
    <w:rsid w:val="00D839E9"/>
    <w:rsid w:val="00DA0A1C"/>
    <w:rsid w:val="00DA42E2"/>
    <w:rsid w:val="00DA570C"/>
    <w:rsid w:val="00DA62D9"/>
    <w:rsid w:val="00DB3E2F"/>
    <w:rsid w:val="00DC5BD6"/>
    <w:rsid w:val="00DD2831"/>
    <w:rsid w:val="00DE74C2"/>
    <w:rsid w:val="00DF2132"/>
    <w:rsid w:val="00DF3DF0"/>
    <w:rsid w:val="00E2040E"/>
    <w:rsid w:val="00E54B98"/>
    <w:rsid w:val="00E5597F"/>
    <w:rsid w:val="00E735AD"/>
    <w:rsid w:val="00E77FD0"/>
    <w:rsid w:val="00E84A25"/>
    <w:rsid w:val="00E90516"/>
    <w:rsid w:val="00E93CD0"/>
    <w:rsid w:val="00E96835"/>
    <w:rsid w:val="00EA1C62"/>
    <w:rsid w:val="00EB5BBD"/>
    <w:rsid w:val="00EC0BB0"/>
    <w:rsid w:val="00EC5346"/>
    <w:rsid w:val="00EC71D7"/>
    <w:rsid w:val="00ED1195"/>
    <w:rsid w:val="00ED50CE"/>
    <w:rsid w:val="00EE7272"/>
    <w:rsid w:val="00F0085A"/>
    <w:rsid w:val="00F05E65"/>
    <w:rsid w:val="00F145FC"/>
    <w:rsid w:val="00F164A2"/>
    <w:rsid w:val="00F35364"/>
    <w:rsid w:val="00F5205B"/>
    <w:rsid w:val="00F56F98"/>
    <w:rsid w:val="00F64BCC"/>
    <w:rsid w:val="00F849D4"/>
    <w:rsid w:val="00F90771"/>
    <w:rsid w:val="00FA119F"/>
    <w:rsid w:val="00FA42CD"/>
    <w:rsid w:val="00FB3BD3"/>
    <w:rsid w:val="00FB72BE"/>
    <w:rsid w:val="00FE2624"/>
    <w:rsid w:val="00FF73C7"/>
    <w:rsid w:val="086F9607"/>
    <w:rsid w:val="12AE79D4"/>
    <w:rsid w:val="17B9068E"/>
    <w:rsid w:val="1C246D21"/>
    <w:rsid w:val="1DF3F57D"/>
    <w:rsid w:val="1E10B447"/>
    <w:rsid w:val="3101ED1E"/>
    <w:rsid w:val="3904DFA7"/>
    <w:rsid w:val="3ADAF16A"/>
    <w:rsid w:val="4046CF36"/>
    <w:rsid w:val="4854D673"/>
    <w:rsid w:val="58CB1C5F"/>
    <w:rsid w:val="5BCF69CD"/>
    <w:rsid w:val="5DA2E7BD"/>
    <w:rsid w:val="6C5F3CBD"/>
    <w:rsid w:val="7EA3D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9E36"/>
  <w15:chartTrackingRefBased/>
  <w15:docId w15:val="{B16A564B-416C-454E-8946-8746103D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E4"/>
    <w:pPr>
      <w:spacing w:line="264" w:lineRule="auto"/>
    </w:pPr>
    <w:rPr>
      <w:rFonts w:ascii="Calibri" w:hAnsi="Calibri"/>
    </w:rPr>
  </w:style>
  <w:style w:type="paragraph" w:styleId="Heading1">
    <w:name w:val="heading 1"/>
    <w:basedOn w:val="Normal"/>
    <w:next w:val="Normal"/>
    <w:link w:val="Heading1Char"/>
    <w:uiPriority w:val="9"/>
    <w:qFormat/>
    <w:rsid w:val="00DB3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B3"/>
    <w:pPr>
      <w:spacing w:after="0" w:line="240" w:lineRule="auto"/>
      <w:ind w:left="720"/>
    </w:pPr>
    <w:rPr>
      <w:rFonts w:eastAsia="Times New Roman" w:cs="Times New Roman"/>
      <w:szCs w:val="20"/>
      <w:lang w:val="en-GB" w:eastAsia="en-AU"/>
    </w:rPr>
  </w:style>
  <w:style w:type="character" w:styleId="Hyperlink">
    <w:name w:val="Hyperlink"/>
    <w:basedOn w:val="DefaultParagraphFont"/>
    <w:uiPriority w:val="99"/>
    <w:unhideWhenUsed/>
    <w:rsid w:val="00465222"/>
    <w:rPr>
      <w:color w:val="0563C1" w:themeColor="hyperlink"/>
      <w:u w:val="single"/>
    </w:rPr>
  </w:style>
  <w:style w:type="paragraph" w:styleId="FootnoteText">
    <w:name w:val="footnote text"/>
    <w:link w:val="FootnoteTextChar"/>
    <w:uiPriority w:val="99"/>
    <w:qFormat/>
    <w:rsid w:val="00465222"/>
    <w:pPr>
      <w:tabs>
        <w:tab w:val="left" w:pos="284"/>
      </w:tabs>
      <w:spacing w:after="20" w:line="260" w:lineRule="atLeast"/>
    </w:pPr>
    <w:rPr>
      <w:rFonts w:ascii="Arial" w:eastAsia="Times New Roman" w:hAnsi="Arial" w:cs="Times New Roman"/>
      <w:color w:val="4B5869"/>
      <w:sz w:val="15"/>
      <w:szCs w:val="20"/>
    </w:rPr>
  </w:style>
  <w:style w:type="character" w:customStyle="1" w:styleId="FootnoteTextChar">
    <w:name w:val="Footnote Text Char"/>
    <w:basedOn w:val="DefaultParagraphFont"/>
    <w:link w:val="FootnoteText"/>
    <w:uiPriority w:val="99"/>
    <w:rsid w:val="00465222"/>
    <w:rPr>
      <w:rFonts w:ascii="Arial" w:eastAsia="Times New Roman" w:hAnsi="Arial" w:cs="Times New Roman"/>
      <w:color w:val="4B5869"/>
      <w:sz w:val="15"/>
      <w:szCs w:val="20"/>
    </w:rPr>
  </w:style>
  <w:style w:type="character" w:styleId="FootnoteReference">
    <w:name w:val="footnote reference"/>
    <w:uiPriority w:val="99"/>
    <w:rsid w:val="00465222"/>
    <w:rPr>
      <w:vertAlign w:val="superscript"/>
    </w:rPr>
  </w:style>
  <w:style w:type="paragraph" w:styleId="NormalWeb">
    <w:name w:val="Normal (Web)"/>
    <w:basedOn w:val="Normal"/>
    <w:uiPriority w:val="99"/>
    <w:unhideWhenUsed/>
    <w:rsid w:val="004652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qFormat/>
    <w:rsid w:val="00465222"/>
    <w:pPr>
      <w:spacing w:before="120" w:after="120" w:line="240" w:lineRule="auto"/>
    </w:pPr>
    <w:rPr>
      <w:rFonts w:eastAsiaTheme="majorEastAsia" w:cs="Arial"/>
      <w:bCs/>
      <w:szCs w:val="20"/>
    </w:rPr>
  </w:style>
  <w:style w:type="paragraph" w:customStyle="1" w:styleId="BoxTitle">
    <w:name w:val="Box Title"/>
    <w:basedOn w:val="Normal"/>
    <w:qFormat/>
    <w:rsid w:val="00D526A1"/>
    <w:pPr>
      <w:keepNext/>
      <w:shd w:val="clear" w:color="auto" w:fill="E7E6E6" w:themeFill="background2"/>
    </w:pPr>
    <w:rPr>
      <w:b/>
      <w:color w:val="ED7D31" w:themeColor="accent2"/>
      <w:sz w:val="24"/>
    </w:rPr>
  </w:style>
  <w:style w:type="paragraph" w:styleId="BalloonText">
    <w:name w:val="Balloon Text"/>
    <w:basedOn w:val="Normal"/>
    <w:link w:val="BalloonTextChar"/>
    <w:uiPriority w:val="99"/>
    <w:semiHidden/>
    <w:unhideWhenUsed/>
    <w:rsid w:val="008A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1C"/>
    <w:rPr>
      <w:rFonts w:ascii="Segoe UI" w:hAnsi="Segoe UI" w:cs="Segoe UI"/>
      <w:sz w:val="18"/>
      <w:szCs w:val="18"/>
    </w:rPr>
  </w:style>
  <w:style w:type="character" w:customStyle="1" w:styleId="UnresolvedMention1">
    <w:name w:val="Unresolved Mention1"/>
    <w:basedOn w:val="DefaultParagraphFont"/>
    <w:uiPriority w:val="99"/>
    <w:semiHidden/>
    <w:unhideWhenUsed/>
    <w:rsid w:val="004953E4"/>
    <w:rPr>
      <w:color w:val="605E5C"/>
      <w:shd w:val="clear" w:color="auto" w:fill="E1DFDD"/>
    </w:rPr>
  </w:style>
  <w:style w:type="character" w:styleId="FollowedHyperlink">
    <w:name w:val="FollowedHyperlink"/>
    <w:basedOn w:val="DefaultParagraphFont"/>
    <w:uiPriority w:val="99"/>
    <w:semiHidden/>
    <w:unhideWhenUsed/>
    <w:rsid w:val="004953E4"/>
    <w:rPr>
      <w:color w:val="954F72" w:themeColor="followedHyperlink"/>
      <w:u w:val="single"/>
    </w:rPr>
  </w:style>
  <w:style w:type="character" w:customStyle="1" w:styleId="Heading1Char">
    <w:name w:val="Heading 1 Char"/>
    <w:basedOn w:val="DefaultParagraphFont"/>
    <w:link w:val="Heading1"/>
    <w:uiPriority w:val="9"/>
    <w:rsid w:val="00DB3E2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433D2"/>
    <w:rPr>
      <w:sz w:val="16"/>
      <w:szCs w:val="16"/>
    </w:rPr>
  </w:style>
  <w:style w:type="paragraph" w:styleId="CommentText">
    <w:name w:val="annotation text"/>
    <w:basedOn w:val="Normal"/>
    <w:link w:val="CommentTextChar"/>
    <w:uiPriority w:val="99"/>
    <w:semiHidden/>
    <w:unhideWhenUsed/>
    <w:rsid w:val="00C433D2"/>
    <w:pPr>
      <w:spacing w:line="240" w:lineRule="auto"/>
    </w:pPr>
    <w:rPr>
      <w:sz w:val="20"/>
      <w:szCs w:val="20"/>
    </w:rPr>
  </w:style>
  <w:style w:type="character" w:customStyle="1" w:styleId="CommentTextChar">
    <w:name w:val="Comment Text Char"/>
    <w:basedOn w:val="DefaultParagraphFont"/>
    <w:link w:val="CommentText"/>
    <w:uiPriority w:val="99"/>
    <w:semiHidden/>
    <w:rsid w:val="00C433D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433D2"/>
    <w:rPr>
      <w:b/>
      <w:bCs/>
    </w:rPr>
  </w:style>
  <w:style w:type="character" w:customStyle="1" w:styleId="CommentSubjectChar">
    <w:name w:val="Comment Subject Char"/>
    <w:basedOn w:val="CommentTextChar"/>
    <w:link w:val="CommentSubject"/>
    <w:uiPriority w:val="99"/>
    <w:semiHidden/>
    <w:rsid w:val="00C433D2"/>
    <w:rPr>
      <w:rFonts w:ascii="Calibri" w:hAnsi="Calibri"/>
      <w:b/>
      <w:bCs/>
      <w:sz w:val="20"/>
      <w:szCs w:val="20"/>
    </w:rPr>
  </w:style>
  <w:style w:type="paragraph" w:customStyle="1" w:styleId="Question">
    <w:name w:val="Question"/>
    <w:basedOn w:val="Normal"/>
    <w:qFormat/>
    <w:rsid w:val="00FA119F"/>
    <w:pPr>
      <w:pBdr>
        <w:top w:val="single" w:sz="4" w:space="1" w:color="5B9BD5" w:themeColor="accent5"/>
        <w:left w:val="single" w:sz="4" w:space="4" w:color="5B9BD5" w:themeColor="accent5"/>
        <w:bottom w:val="single" w:sz="4" w:space="1" w:color="5B9BD5" w:themeColor="accent5"/>
        <w:right w:val="single" w:sz="4" w:space="4" w:color="5B9BD5" w:themeColor="accent5"/>
        <w:between w:val="single" w:sz="4" w:space="1" w:color="5B9BD5" w:themeColor="accent5"/>
        <w:bar w:val="single" w:sz="4" w:color="5B9BD5" w:themeColor="accent5"/>
      </w:pBdr>
      <w:spacing w:before="120" w:after="120" w:line="240" w:lineRule="auto"/>
      <w:textAlignment w:val="center"/>
    </w:pPr>
    <w:rPr>
      <w:rFonts w:asciiTheme="minorHAnsi" w:hAnsiTheme="minorHAnsi" w:cstheme="minorHAnsi"/>
      <w:color w:val="2F5496" w:themeColor="accent1" w:themeShade="BF"/>
    </w:rPr>
  </w:style>
  <w:style w:type="paragraph" w:styleId="Header">
    <w:name w:val="header"/>
    <w:basedOn w:val="Normal"/>
    <w:link w:val="HeaderChar"/>
    <w:uiPriority w:val="99"/>
    <w:unhideWhenUsed/>
    <w:rsid w:val="00F1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A2"/>
    <w:rPr>
      <w:rFonts w:ascii="Calibri" w:hAnsi="Calibri"/>
    </w:rPr>
  </w:style>
  <w:style w:type="paragraph" w:styleId="Footer">
    <w:name w:val="footer"/>
    <w:basedOn w:val="Normal"/>
    <w:link w:val="FooterChar"/>
    <w:uiPriority w:val="99"/>
    <w:unhideWhenUsed/>
    <w:rsid w:val="00F1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A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8507">
      <w:bodyDiv w:val="1"/>
      <w:marLeft w:val="0"/>
      <w:marRight w:val="0"/>
      <w:marTop w:val="0"/>
      <w:marBottom w:val="0"/>
      <w:divBdr>
        <w:top w:val="none" w:sz="0" w:space="0" w:color="auto"/>
        <w:left w:val="none" w:sz="0" w:space="0" w:color="auto"/>
        <w:bottom w:val="none" w:sz="0" w:space="0" w:color="auto"/>
        <w:right w:val="none" w:sz="0" w:space="0" w:color="auto"/>
      </w:divBdr>
    </w:div>
    <w:div w:id="14874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ece.org/trans/main/wp29/wp29regs" TargetMode="External"/><Relationship Id="rId3" Type="http://schemas.openxmlformats.org/officeDocument/2006/relationships/hyperlink" Target="https://repository.tno.nl/islandora/object/uuid:84b183d4-904f-48dc-a2fd-4ee515e24b1a" TargetMode="External"/><Relationship Id="rId7" Type="http://schemas.openxmlformats.org/officeDocument/2006/relationships/hyperlink" Target="https://www.abs.gov.au/statistics/economy/price-indexes-and-inflation/consumer-price-index-australia" TargetMode="External"/><Relationship Id="rId2" Type="http://schemas.openxmlformats.org/officeDocument/2006/relationships/hyperlink" Target="https://unece.org/DAM/trans/doc/2018/wp29grrf/GRRF-86-17e.pdf" TargetMode="External"/><Relationship Id="rId1" Type="http://schemas.openxmlformats.org/officeDocument/2006/relationships/hyperlink" Target="https://unece.org/transport/vehicle-regulations-wp29/standards/addenda-1958-agreement-regulations-141-160" TargetMode="External"/><Relationship Id="rId6" Type="http://schemas.openxmlformats.org/officeDocument/2006/relationships/hyperlink" Target="https://www.abs.gov.au/statistics/industry/tourism-and-transport/survey-motor-vehicle-use-australia/latest-release" TargetMode="External"/><Relationship Id="rId5" Type="http://schemas.openxmlformats.org/officeDocument/2006/relationships/hyperlink" Target="https://www.bitre.gov.au/statistics/road" TargetMode="External"/><Relationship Id="rId4" Type="http://schemas.openxmlformats.org/officeDocument/2006/relationships/hyperlink" Target="https://www.oecd.org/environment/non-exhaust-particulate-emissions-from-road-transport-4a4dc6ca-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42E60-D9DC-42CA-9477-F651D142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17465</Characters>
  <Application>Microsoft Office Word</Application>
  <DocSecurity>0</DocSecurity>
  <Lines>145</Lines>
  <Paragraphs>40</Paragraphs>
  <ScaleCrop>false</ScaleCrop>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THATCHER Rohan</dc:creator>
  <cp:keywords/>
  <dc:description/>
  <cp:lastModifiedBy>Graham Gardiner</cp:lastModifiedBy>
  <cp:revision>2</cp:revision>
  <cp:lastPrinted>2023-07-25T04:37:00Z</cp:lastPrinted>
  <dcterms:created xsi:type="dcterms:W3CDTF">2023-11-08T03:19:00Z</dcterms:created>
  <dcterms:modified xsi:type="dcterms:W3CDTF">2023-11-08T03:19:00Z</dcterms:modified>
</cp:coreProperties>
</file>